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251660288">
            <wp:simplePos x="0" y="0"/>
            <wp:positionH relativeFrom="page">
              <wp:posOffset>0</wp:posOffset>
            </wp:positionH>
            <wp:positionV relativeFrom="page">
              <wp:posOffset>2087880</wp:posOffset>
            </wp:positionV>
            <wp:extent cx="7560309" cy="49911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309" cy="4991100"/>
                    </a:xfrm>
                    <a:prstGeom prst="rect">
                      <a:avLst/>
                    </a:prstGeom>
                  </pic:spPr>
                </pic:pic>
              </a:graphicData>
            </a:graphic>
          </wp:anchor>
        </w:drawing>
      </w:r>
    </w:p>
    <w:p>
      <w:pPr>
        <w:pStyle w:val="BodyText"/>
        <w:spacing w:before="1"/>
        <w:rPr>
          <w:rFonts w:ascii="Times New Roman"/>
          <w:sz w:val="20"/>
        </w:rPr>
      </w:pPr>
    </w:p>
    <w:p>
      <w:pPr>
        <w:spacing w:line="240" w:lineRule="auto"/>
        <w:ind w:left="1418" w:right="0" w:firstLine="0"/>
        <w:rPr>
          <w:rFonts w:ascii="Times New Roman"/>
          <w:sz w:val="20"/>
        </w:rPr>
      </w:pPr>
      <w:r>
        <w:rPr>
          <w:rFonts w:ascii="Times New Roman"/>
          <w:sz w:val="20"/>
        </w:rPr>
        <w:drawing>
          <wp:inline distT="0" distB="0" distL="0" distR="0">
            <wp:extent cx="377190" cy="37719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77190" cy="377190"/>
                    </a:xfrm>
                    <a:prstGeom prst="rect">
                      <a:avLst/>
                    </a:prstGeom>
                  </pic:spPr>
                </pic:pic>
              </a:graphicData>
            </a:graphic>
          </wp:inline>
        </w:drawing>
      </w:r>
      <w:r>
        <w:rPr>
          <w:rFonts w:ascii="Times New Roman"/>
          <w:sz w:val="20"/>
        </w:rPr>
      </w:r>
      <w:r>
        <w:rPr>
          <w:rFonts w:ascii="Times New Roman"/>
          <w:spacing w:val="99"/>
          <w:sz w:val="20"/>
        </w:rPr>
        <w:t> </w:t>
      </w:r>
      <w:r>
        <w:rPr>
          <w:rFonts w:ascii="Times New Roman"/>
          <w:spacing w:val="99"/>
          <w:position w:val="4"/>
          <w:sz w:val="20"/>
        </w:rPr>
        <w:drawing>
          <wp:inline distT="0" distB="0" distL="0" distR="0">
            <wp:extent cx="2645929" cy="301751"/>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645929" cy="301751"/>
                    </a:xfrm>
                    <a:prstGeom prst="rect">
                      <a:avLst/>
                    </a:prstGeom>
                  </pic:spPr>
                </pic:pic>
              </a:graphicData>
            </a:graphic>
          </wp:inline>
        </w:drawing>
      </w:r>
      <w:r>
        <w:rPr>
          <w:rFonts w:ascii="Times New Roman"/>
          <w:spacing w:val="99"/>
          <w:position w:val="4"/>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spacing w:before="50"/>
        <w:ind w:left="0" w:right="36" w:firstLine="0"/>
        <w:jc w:val="center"/>
        <w:rPr>
          <w:rFonts w:ascii="楷体" w:eastAsia="楷体" w:hint="eastAsia"/>
          <w:b/>
          <w:sz w:val="36"/>
        </w:rPr>
      </w:pPr>
      <w:r>
        <w:rPr/>
        <w:pict>
          <v:group style="position:absolute;margin-left:1.08pt;margin-top:-113.949997pt;width:594.25pt;height:55.7pt;mso-position-horizontal-relative:page;mso-position-vertical-relative:paragraph;z-index:251659264" coordorigin="22,-2279" coordsize="11885,1114">
            <v:shape style="position:absolute;left:21;top:-2279;width:11885;height:1114" type="#_x0000_t75" stroked="false">
              <v:imagedata r:id="rId8" o:title=""/>
            </v:shape>
            <v:shapetype id="_x0000_t202" o:spt="202" coordsize="21600,21600" path="m,l,21600r21600,l21600,xe">
              <v:stroke joinstyle="miter"/>
              <v:path gradientshapeok="t" o:connecttype="rect"/>
            </v:shapetype>
            <v:shape style="position:absolute;left:21;top:-2279;width:11885;height:1114" type="#_x0000_t202" filled="false" stroked="false">
              <v:textbox inset="0,0,0,0">
                <w:txbxContent>
                  <w:p>
                    <w:pPr>
                      <w:spacing w:before="194"/>
                      <w:ind w:left="1733" w:right="1754" w:firstLine="0"/>
                      <w:jc w:val="center"/>
                      <w:rPr>
                        <w:rFonts w:ascii="黑体" w:eastAsia="黑体" w:hint="eastAsia"/>
                        <w:b/>
                        <w:sz w:val="52"/>
                      </w:rPr>
                    </w:pPr>
                    <w:r>
                      <w:rPr>
                        <w:rFonts w:ascii="黑体" w:eastAsia="黑体" w:hint="eastAsia"/>
                        <w:b/>
                        <w:color w:val="F8FAF9"/>
                        <w:sz w:val="52"/>
                      </w:rPr>
                      <w:t>高等职业教育质量年度报告（2019）</w:t>
                    </w:r>
                  </w:p>
                </w:txbxContent>
              </v:textbox>
              <w10:wrap type="none"/>
            </v:shape>
            <w10:wrap type="none"/>
          </v:group>
        </w:pict>
      </w:r>
      <w:r>
        <w:rPr>
          <w:rFonts w:ascii="楷体" w:eastAsia="楷体" w:hint="eastAsia"/>
          <w:b/>
          <w:spacing w:val="3"/>
          <w:sz w:val="36"/>
        </w:rPr>
        <w:t>二 </w:t>
      </w:r>
      <w:r>
        <w:rPr>
          <w:rFonts w:ascii="楷体" w:eastAsia="楷体" w:hint="eastAsia"/>
          <w:b/>
          <w:sz w:val="36"/>
        </w:rPr>
        <w:t>0</w:t>
      </w:r>
      <w:r>
        <w:rPr>
          <w:rFonts w:ascii="楷体" w:eastAsia="楷体" w:hint="eastAsia"/>
          <w:b/>
          <w:spacing w:val="52"/>
          <w:sz w:val="36"/>
        </w:rPr>
        <w:t> 一八年十二月</w:t>
      </w:r>
    </w:p>
    <w:p>
      <w:pPr>
        <w:spacing w:after="0"/>
        <w:jc w:val="center"/>
        <w:rPr>
          <w:rFonts w:ascii="楷体" w:eastAsia="楷体" w:hint="eastAsia"/>
          <w:sz w:val="36"/>
        </w:rPr>
        <w:sectPr>
          <w:type w:val="continuous"/>
          <w:pgSz w:w="11910" w:h="16840"/>
          <w:pgMar w:top="1580" w:bottom="280" w:left="0" w:right="0"/>
        </w:sectPr>
      </w:pPr>
    </w:p>
    <w:p>
      <w:pPr>
        <w:pStyle w:val="BodyText"/>
        <w:rPr>
          <w:rFonts w:ascii="Times New Roman"/>
          <w:sz w:val="20"/>
        </w:rPr>
      </w:pPr>
      <w:r>
        <w:rPr/>
        <w:pict>
          <v:group style="position:absolute;margin-left:69.239998pt;margin-top:41.400024pt;width:455.2pt;height:22.55pt;mso-position-horizontal-relative:page;mso-position-vertical-relative:page;z-index:-258974720" coordorigin="1385,828" coordsize="9104,451">
            <v:line style="position:absolute" from="1418,1271" to="10488,1271" stroked="true" strokeweight=".72pt" strokecolor="#000000">
              <v:stroke dashstyle="solid"/>
            </v:line>
            <v:shape style="position:absolute;left:1740;top:828;width:1940;height:203" type="#_x0000_t75" stroked="false">
              <v:imagedata r:id="rId10" o:title=""/>
            </v:shape>
            <v:shape style="position:absolute;left:1384;top:866;width:435;height:392" type="#_x0000_t75" stroked="false">
              <v:imagedata r:id="rId11" o:title=""/>
            </v:shape>
            <v:shape style="position:absolute;left:1754;top:1080;width:1906;height:128" type="#_x0000_t75" stroked="false">
              <v:imagedata r:id="rId12"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8"/>
        </w:rPr>
      </w:pPr>
    </w:p>
    <w:p>
      <w:pPr>
        <w:pStyle w:val="BodyText"/>
        <w:ind w:left="1575"/>
        <w:rPr>
          <w:rFonts w:ascii="Times New Roman"/>
          <w:sz w:val="20"/>
        </w:rPr>
      </w:pPr>
      <w:r>
        <w:rPr>
          <w:rFonts w:ascii="Times New Roman"/>
          <w:sz w:val="20"/>
        </w:rPr>
        <w:drawing>
          <wp:inline distT="0" distB="0" distL="0" distR="0">
            <wp:extent cx="5402750" cy="6880859"/>
            <wp:effectExtent l="0" t="0" r="0" b="0"/>
            <wp:docPr id="7" name="image8.jpeg"/>
            <wp:cNvGraphicFramePr>
              <a:graphicFrameLocks noChangeAspect="1"/>
            </wp:cNvGraphicFramePr>
            <a:graphic>
              <a:graphicData uri="http://schemas.openxmlformats.org/drawingml/2006/picture">
                <pic:pic>
                  <pic:nvPicPr>
                    <pic:cNvPr id="8" name="image8.jpeg"/>
                    <pic:cNvPicPr/>
                  </pic:nvPicPr>
                  <pic:blipFill>
                    <a:blip r:embed="rId13" cstate="print"/>
                    <a:stretch>
                      <a:fillRect/>
                    </a:stretch>
                  </pic:blipFill>
                  <pic:spPr>
                    <a:xfrm>
                      <a:off x="0" y="0"/>
                      <a:ext cx="5402750" cy="6880859"/>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9"/>
          <w:pgSz w:w="11910" w:h="16840"/>
          <w:pgMar w:header="1019" w:footer="0" w:top="1200" w:bottom="280" w:left="0" w:right="0"/>
        </w:sectPr>
      </w:pPr>
    </w:p>
    <w:p>
      <w:pPr>
        <w:pStyle w:val="BodyText"/>
        <w:rPr>
          <w:rFonts w:ascii="Times New Roman"/>
          <w:sz w:val="20"/>
        </w:rPr>
      </w:pPr>
    </w:p>
    <w:p>
      <w:pPr>
        <w:pStyle w:val="BodyText"/>
        <w:spacing w:before="7"/>
        <w:rPr>
          <w:rFonts w:ascii="Times New Roman"/>
          <w:sz w:val="23"/>
        </w:rPr>
      </w:pPr>
    </w:p>
    <w:p>
      <w:pPr>
        <w:tabs>
          <w:tab w:pos="1319" w:val="left" w:leader="none"/>
        </w:tabs>
        <w:spacing w:line="723" w:lineRule="exact" w:before="0"/>
        <w:ind w:left="0" w:right="42" w:firstLine="0"/>
        <w:jc w:val="center"/>
        <w:rPr>
          <w:rFonts w:ascii="Arial Unicode MS" w:eastAsia="Arial Unicode MS" w:hint="eastAsia"/>
          <w:sz w:val="44"/>
        </w:rPr>
      </w:pPr>
      <w:r>
        <w:rPr>
          <w:rFonts w:ascii="Arial Unicode MS" w:eastAsia="Arial Unicode MS" w:hint="eastAsia"/>
          <w:sz w:val="44"/>
        </w:rPr>
        <w:t>目</w:t>
        <w:tab/>
        <w:t>录</w:t>
      </w:r>
    </w:p>
    <w:p>
      <w:pPr>
        <w:spacing w:after="0" w:line="723" w:lineRule="exact"/>
        <w:jc w:val="center"/>
        <w:rPr>
          <w:rFonts w:ascii="Arial Unicode MS" w:eastAsia="Arial Unicode MS" w:hint="eastAsia"/>
          <w:sz w:val="44"/>
        </w:rPr>
        <w:sectPr>
          <w:headerReference w:type="default" r:id="rId14"/>
          <w:footerReference w:type="default" r:id="rId15"/>
          <w:pgSz w:w="11910" w:h="16840"/>
          <w:pgMar w:header="833" w:footer="1223" w:top="1260" w:bottom="1453" w:left="0" w:right="0"/>
          <w:pgNumType w:start="1"/>
        </w:sectPr>
      </w:pPr>
    </w:p>
    <w:sdt>
      <w:sdtPr>
        <w:docPartObj>
          <w:docPartGallery w:val="Table of Contents"/>
          <w:docPartUnique/>
        </w:docPartObj>
      </w:sdtPr>
      <w:sdtEndPr/>
      <w:sdtContent>
        <w:p>
          <w:pPr>
            <w:pStyle w:val="TOC2"/>
            <w:numPr>
              <w:ilvl w:val="0"/>
              <w:numId w:val="1"/>
            </w:numPr>
            <w:tabs>
              <w:tab w:pos="1732" w:val="left" w:leader="none"/>
              <w:tab w:pos="1733" w:val="left" w:leader="none"/>
              <w:tab w:pos="10477" w:val="right" w:leader="dot"/>
            </w:tabs>
            <w:spacing w:line="240" w:lineRule="auto" w:before="425" w:after="0"/>
            <w:ind w:left="1732" w:right="0" w:hanging="315"/>
            <w:jc w:val="left"/>
          </w:pPr>
          <w:hyperlink w:history="true" w:anchor="_bookmark0">
            <w:r>
              <w:rPr/>
              <w:t>学院发展</w:t>
              <w:tab/>
              <w:t>1</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1">
            <w:r>
              <w:rPr/>
              <w:t>发展历程</w:t>
              <w:tab/>
              <w:t>1</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2">
            <w:r>
              <w:rPr/>
              <w:t>基本情况</w:t>
              <w:tab/>
              <w:t>2</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3">
            <w:r>
              <w:rPr/>
              <w:t>办学基本条件</w:t>
              <w:tab/>
              <w:t>2</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4">
            <w:r>
              <w:rPr/>
              <w:t>学生规模及分布</w:t>
              <w:tab/>
              <w:t>3</w:t>
            </w:r>
          </w:hyperlink>
        </w:p>
        <w:p>
          <w:pPr>
            <w:pStyle w:val="TOC4"/>
            <w:tabs>
              <w:tab w:pos="2992" w:val="left" w:leader="none"/>
              <w:tab w:pos="10477" w:val="right" w:leader="dot"/>
            </w:tabs>
            <w:ind w:left="2258" w:firstLine="0"/>
          </w:pPr>
          <w:hyperlink w:history="true" w:anchor="_bookmark5">
            <w:r>
              <w:rPr/>
              <w:t>1.2.3</w:t>
              <w:tab/>
              <w:t>2018</w:t>
            </w:r>
            <w:r>
              <w:rPr>
                <w:spacing w:val="-55"/>
              </w:rPr>
              <w:t> </w:t>
            </w:r>
            <w:r>
              <w:rPr/>
              <w:t>年招生情况</w:t>
              <w:tab/>
              <w:t>4</w:t>
            </w:r>
          </w:hyperlink>
        </w:p>
        <w:p>
          <w:pPr>
            <w:pStyle w:val="TOC3"/>
            <w:numPr>
              <w:ilvl w:val="1"/>
              <w:numId w:val="1"/>
            </w:numPr>
            <w:tabs>
              <w:tab w:pos="2363" w:val="left" w:leader="none"/>
              <w:tab w:pos="2364" w:val="left" w:leader="none"/>
              <w:tab w:pos="10477" w:val="right" w:leader="dot"/>
            </w:tabs>
            <w:spacing w:line="240" w:lineRule="auto" w:before="42" w:after="0"/>
            <w:ind w:left="2364" w:right="0" w:hanging="526"/>
            <w:jc w:val="left"/>
          </w:pPr>
          <w:hyperlink w:history="true" w:anchor="_bookmark6">
            <w:r>
              <w:rPr/>
              <w:t>学院特色</w:t>
              <w:tab/>
              <w:t>5</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7">
            <w:r>
              <w:rPr/>
              <w:t>适应绿色化工发展的特色专业体系</w:t>
              <w:tab/>
              <w:t>5</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8">
            <w:r>
              <w:rPr/>
              <w:t>职业素质与技能并重的人才培养体系</w:t>
              <w:tab/>
              <w:t>5</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9">
            <w:r>
              <w:rPr/>
              <w:t>全省领先的“四轮驱动”就业创业教育体系</w:t>
              <w:tab/>
              <w:t>5</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10">
            <w:r>
              <w:rPr/>
              <w:t>全省示范的“应用导向”信息化教学改革模式</w:t>
              <w:tab/>
              <w:t>5</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11">
            <w:r>
              <w:rPr/>
              <w:t>引领化工中小企业转型升级的“一主两翼”社会服务体系</w:t>
              <w:tab/>
              <w:t>7</w:t>
            </w:r>
          </w:hyperlink>
        </w:p>
        <w:p>
          <w:pPr>
            <w:pStyle w:val="TOC2"/>
            <w:numPr>
              <w:ilvl w:val="0"/>
              <w:numId w:val="1"/>
            </w:numPr>
            <w:tabs>
              <w:tab w:pos="1732" w:val="left" w:leader="none"/>
              <w:tab w:pos="1733" w:val="left" w:leader="none"/>
              <w:tab w:pos="10477" w:val="right" w:leader="dot"/>
            </w:tabs>
            <w:spacing w:line="240" w:lineRule="auto" w:before="43" w:after="0"/>
            <w:ind w:left="1732" w:right="0" w:hanging="315"/>
            <w:jc w:val="left"/>
          </w:pPr>
          <w:hyperlink w:history="true" w:anchor="_bookmark12">
            <w:r>
              <w:rPr/>
              <w:t>学生发展</w:t>
              <w:tab/>
              <w:t>8</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13">
            <w:r>
              <w:rPr/>
              <w:t>思想政治素质</w:t>
              <w:tab/>
              <w:t>8</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14">
            <w:r>
              <w:rPr/>
              <w:t>加强大学生思想政治教育</w:t>
              <w:tab/>
              <w:t>8</w:t>
            </w:r>
          </w:hyperlink>
        </w:p>
        <w:p>
          <w:pPr>
            <w:pStyle w:val="TOC4"/>
            <w:tabs>
              <w:tab w:pos="10477" w:val="right" w:leader="dot"/>
            </w:tabs>
            <w:ind w:left="2258" w:firstLine="0"/>
          </w:pPr>
          <w:hyperlink w:history="true" w:anchor="_bookmark15">
            <w:r>
              <w:rPr/>
              <w:t>【典型案例</w:t>
            </w:r>
            <w:r>
              <w:rPr>
                <w:spacing w:val="-54"/>
              </w:rPr>
              <w:t> </w:t>
            </w:r>
            <w:r>
              <w:rPr/>
              <w:t>1】创新党性教育形式 提升学生党员素质</w:t>
              <w:tab/>
              <w:t>9</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16">
            <w:r>
              <w:rPr/>
              <w:t>加强校园文化建设，营造学生成长成才的和谐环境</w:t>
              <w:tab/>
              <w:t>9</w:t>
            </w:r>
          </w:hyperlink>
        </w:p>
        <w:p>
          <w:pPr>
            <w:pStyle w:val="TOC4"/>
            <w:tabs>
              <w:tab w:pos="10477" w:val="right" w:leader="dot"/>
            </w:tabs>
            <w:ind w:left="2258" w:firstLine="0"/>
          </w:pPr>
          <w:hyperlink w:history="true" w:anchor="_bookmark17">
            <w:r>
              <w:rPr/>
              <w:t>【典型案例</w:t>
            </w:r>
            <w:r>
              <w:rPr>
                <w:spacing w:val="-56"/>
              </w:rPr>
              <w:t> </w:t>
            </w:r>
            <w:r>
              <w:rPr/>
              <w:t>2】捐献骨髓挽救</w:t>
            </w:r>
            <w:r>
              <w:rPr>
                <w:spacing w:val="-55"/>
              </w:rPr>
              <w:t> </w:t>
            </w:r>
            <w:r>
              <w:rPr/>
              <w:t>3</w:t>
            </w:r>
            <w:r>
              <w:rPr>
                <w:spacing w:val="-54"/>
              </w:rPr>
              <w:t> </w:t>
            </w:r>
            <w:r>
              <w:rPr/>
              <w:t>岁女孩，湖南化院学子给自己一份特别的“成人礼”</w:t>
              <w:tab/>
              <w:t>10</w:t>
            </w:r>
          </w:hyperlink>
        </w:p>
        <w:p>
          <w:pPr>
            <w:pStyle w:val="TOC4"/>
            <w:tabs>
              <w:tab w:pos="10477" w:val="right" w:leader="dot"/>
            </w:tabs>
            <w:ind w:left="2258" w:firstLine="0"/>
          </w:pPr>
          <w:hyperlink w:history="true" w:anchor="_bookmark18">
            <w:r>
              <w:rPr/>
              <w:t>【典型案例</w:t>
            </w:r>
            <w:r>
              <w:rPr>
                <w:spacing w:val="-55"/>
              </w:rPr>
              <w:t> </w:t>
            </w:r>
            <w:r>
              <w:rPr/>
              <w:t>3】践行“1＋3”志愿者实践育人体项目牵手株洲“致公·宝利班”</w:t>
              <w:tab/>
              <w:t>11</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19">
            <w:r>
              <w:rPr/>
              <w:t>综合素质</w:t>
              <w:tab/>
              <w:t>12</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20">
            <w:r>
              <w:rPr/>
              <w:t>技能水平突出</w:t>
              <w:tab/>
              <w:t>12</w:t>
            </w:r>
          </w:hyperlink>
        </w:p>
        <w:p>
          <w:pPr>
            <w:pStyle w:val="TOC4"/>
            <w:tabs>
              <w:tab w:pos="10477" w:val="right" w:leader="dot"/>
            </w:tabs>
            <w:ind w:left="2258" w:firstLine="0"/>
          </w:pPr>
          <w:hyperlink w:history="true" w:anchor="_bookmark21">
            <w:r>
              <w:rPr/>
              <w:t>【典型案例</w:t>
            </w:r>
            <w:r>
              <w:rPr>
                <w:spacing w:val="-54"/>
              </w:rPr>
              <w:t> </w:t>
            </w:r>
            <w:r>
              <w:rPr/>
              <w:t>4】湖南化工职院学子国赛连夺</w:t>
            </w:r>
            <w:r>
              <w:rPr>
                <w:spacing w:val="-53"/>
              </w:rPr>
              <w:t> </w:t>
            </w:r>
            <w:r>
              <w:rPr/>
              <w:t>3</w:t>
            </w:r>
            <w:r>
              <w:rPr>
                <w:spacing w:val="-52"/>
              </w:rPr>
              <w:t> </w:t>
            </w:r>
            <w:r>
              <w:rPr/>
              <w:t>金</w:t>
              <w:tab/>
              <w:t>14</w:t>
            </w:r>
          </w:hyperlink>
        </w:p>
        <w:p>
          <w:pPr>
            <w:pStyle w:val="TOC4"/>
            <w:numPr>
              <w:ilvl w:val="2"/>
              <w:numId w:val="1"/>
            </w:numPr>
            <w:tabs>
              <w:tab w:pos="2992" w:val="left" w:leader="none"/>
              <w:tab w:pos="2993" w:val="left" w:leader="none"/>
              <w:tab w:pos="10477" w:val="right" w:leader="dot"/>
            </w:tabs>
            <w:spacing w:line="240" w:lineRule="auto" w:before="42" w:after="0"/>
            <w:ind w:left="2992" w:right="0" w:hanging="735"/>
            <w:jc w:val="left"/>
          </w:pPr>
          <w:hyperlink w:history="true" w:anchor="_bookmark22">
            <w:r>
              <w:rPr/>
              <w:t>工匠精神凸显</w:t>
              <w:tab/>
              <w:t>16</w:t>
            </w:r>
          </w:hyperlink>
        </w:p>
        <w:p>
          <w:pPr>
            <w:pStyle w:val="TOC4"/>
            <w:tabs>
              <w:tab w:pos="10477" w:val="right" w:leader="dot"/>
            </w:tabs>
            <w:ind w:left="2258" w:firstLine="0"/>
          </w:pPr>
          <w:hyperlink w:history="true" w:anchor="_bookmark23">
            <w:r>
              <w:rPr/>
              <w:t>【典型案例</w:t>
            </w:r>
            <w:r>
              <w:rPr>
                <w:spacing w:val="-54"/>
              </w:rPr>
              <w:t> </w:t>
            </w:r>
            <w:r>
              <w:rPr/>
              <w:t>5】五一劳动奖章背后的年轻夫妇筑梦匠心</w:t>
              <w:tab/>
              <w:t>16</w:t>
            </w:r>
          </w:hyperlink>
        </w:p>
        <w:p>
          <w:pPr>
            <w:pStyle w:val="TOC4"/>
            <w:tabs>
              <w:tab w:pos="10477" w:val="right" w:leader="dot"/>
            </w:tabs>
            <w:ind w:left="2258" w:firstLine="0"/>
          </w:pPr>
          <w:hyperlink w:history="true" w:anchor="_bookmark24">
            <w:r>
              <w:rPr/>
              <w:t>【典型案例</w:t>
            </w:r>
            <w:r>
              <w:rPr>
                <w:spacing w:val="-54"/>
              </w:rPr>
              <w:t> </w:t>
            </w:r>
            <w:r>
              <w:rPr/>
              <w:t>6】扎根西藏 勤勉工作</w:t>
            </w:r>
            <w:r>
              <w:rPr>
                <w:spacing w:val="2"/>
              </w:rPr>
              <w:t> </w:t>
            </w:r>
            <w:r>
              <w:rPr/>
              <w:t>无私奉献</w:t>
              <w:tab/>
              <w:t>17</w:t>
            </w:r>
          </w:hyperlink>
        </w:p>
        <w:p>
          <w:pPr>
            <w:pStyle w:val="TOC4"/>
            <w:tabs>
              <w:tab w:pos="10477" w:val="right" w:leader="dot"/>
            </w:tabs>
            <w:ind w:left="2258" w:firstLine="0"/>
          </w:pPr>
          <w:hyperlink w:history="true" w:anchor="_bookmark25">
            <w:r>
              <w:rPr/>
              <w:t>【典型案例</w:t>
            </w:r>
            <w:r>
              <w:rPr>
                <w:spacing w:val="-54"/>
              </w:rPr>
              <w:t> </w:t>
            </w:r>
            <w:r>
              <w:rPr/>
              <w:t>7】一个新世纪青年劳模的风采</w:t>
              <w:tab/>
              <w:t>18</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26">
            <w:r>
              <w:rPr/>
              <w:t>综合素质过硬</w:t>
              <w:tab/>
              <w:t>19</w:t>
            </w:r>
          </w:hyperlink>
        </w:p>
        <w:p>
          <w:pPr>
            <w:pStyle w:val="TOC4"/>
            <w:tabs>
              <w:tab w:pos="10477" w:val="right" w:leader="dot"/>
            </w:tabs>
            <w:ind w:left="2258" w:firstLine="0"/>
          </w:pPr>
          <w:hyperlink w:history="true" w:anchor="_bookmark27">
            <w:r>
              <w:rPr/>
              <w:t>【典型案例</w:t>
            </w:r>
            <w:r>
              <w:rPr>
                <w:spacing w:val="-54"/>
              </w:rPr>
              <w:t> </w:t>
            </w:r>
            <w:r>
              <w:rPr/>
              <w:t>8】学院学子在省大运会上取得好成绩</w:t>
              <w:tab/>
              <w:t>20</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28">
            <w:r>
              <w:rPr/>
              <w:t>就业质量</w:t>
              <w:tab/>
              <w:t>20</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29">
            <w:r>
              <w:rPr/>
              <w:t>毕业生就业率长期维持高位并持续上升</w:t>
              <w:tab/>
              <w:t>22</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30">
            <w:r>
              <w:rPr/>
              <w:t>人才培养质量得到了用人单位和毕业生本人的高度认可</w:t>
              <w:tab/>
              <w:t>22</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31">
            <w:r>
              <w:rPr/>
              <w:t>毕业生薪资水平持续较高</w:t>
              <w:tab/>
              <w:t>23</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32">
            <w:r>
              <w:rPr/>
              <w:t>职业发展</w:t>
              <w:tab/>
              <w:t>24</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33">
            <w:r>
              <w:rPr/>
              <w:t>毕业三年后月收入增长较快</w:t>
              <w:tab/>
              <w:t>24</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34">
            <w:r>
              <w:rPr/>
              <w:t>毕业生职业发展通道顺畅</w:t>
              <w:tab/>
              <w:t>25</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35">
            <w:r>
              <w:rPr/>
              <w:t>创新创业</w:t>
              <w:tab/>
              <w:t>25</w:t>
            </w:r>
          </w:hyperlink>
        </w:p>
        <w:p>
          <w:pPr>
            <w:pStyle w:val="TOC4"/>
            <w:tabs>
              <w:tab w:pos="10477" w:val="right" w:leader="dot"/>
            </w:tabs>
            <w:ind w:left="2258" w:firstLine="0"/>
          </w:pPr>
          <w:hyperlink w:history="true" w:anchor="_bookmark36">
            <w:r>
              <w:rPr/>
              <w:t>【典型案例</w:t>
            </w:r>
            <w:r>
              <w:rPr>
                <w:spacing w:val="-54"/>
              </w:rPr>
              <w:t> </w:t>
            </w:r>
            <w:r>
              <w:rPr/>
              <w:t>9】涂料行业领头雁——谭昊涯</w:t>
              <w:tab/>
              <w:t>27</w:t>
            </w:r>
          </w:hyperlink>
        </w:p>
        <w:p>
          <w:pPr>
            <w:pStyle w:val="TOC4"/>
            <w:tabs>
              <w:tab w:pos="10477" w:val="right" w:leader="dot"/>
            </w:tabs>
            <w:ind w:left="2258" w:firstLine="0"/>
          </w:pPr>
          <w:hyperlink w:history="true" w:anchor="_bookmark37">
            <w:r>
              <w:rPr/>
              <w:t>【典型案例</w:t>
            </w:r>
            <w:r>
              <w:rPr>
                <w:spacing w:val="-54"/>
              </w:rPr>
              <w:t> </w:t>
            </w:r>
            <w:r>
              <w:rPr/>
              <w:t>10】学院学子获得省黄炎培创业大赛一等奖</w:t>
              <w:tab/>
              <w:t>27</w:t>
            </w:r>
          </w:hyperlink>
        </w:p>
        <w:p>
          <w:pPr>
            <w:pStyle w:val="TOC4"/>
            <w:tabs>
              <w:tab w:pos="10477" w:val="right" w:leader="dot"/>
            </w:tabs>
            <w:spacing w:before="42"/>
            <w:ind w:left="2258" w:firstLine="0"/>
          </w:pPr>
          <w:hyperlink w:history="true" w:anchor="_bookmark38">
            <w:r>
              <w:rPr/>
              <w:t>【典型案例</w:t>
            </w:r>
            <w:r>
              <w:rPr>
                <w:spacing w:val="-54"/>
              </w:rPr>
              <w:t> </w:t>
            </w:r>
            <w:r>
              <w:rPr/>
              <w:t>11】我校创新创业孵化项目凝恬肌肤管理中心开业</w:t>
              <w:tab/>
              <w:t>28</w:t>
            </w:r>
          </w:hyperlink>
        </w:p>
        <w:p>
          <w:pPr>
            <w:pStyle w:val="TOC3"/>
            <w:numPr>
              <w:ilvl w:val="1"/>
              <w:numId w:val="1"/>
            </w:numPr>
            <w:tabs>
              <w:tab w:pos="2363" w:val="left" w:leader="none"/>
              <w:tab w:pos="2364" w:val="left" w:leader="none"/>
              <w:tab w:pos="10477" w:val="right" w:leader="dot"/>
            </w:tabs>
            <w:spacing w:line="240" w:lineRule="auto" w:before="43" w:after="20"/>
            <w:ind w:left="2364" w:right="0" w:hanging="526"/>
            <w:jc w:val="left"/>
          </w:pPr>
          <w:hyperlink w:history="true" w:anchor="_bookmark39">
            <w:r>
              <w:rPr/>
              <w:t>计分卡</w:t>
              <w:tab/>
              <w:t>29</w:t>
            </w:r>
          </w:hyperlink>
        </w:p>
        <w:p>
          <w:pPr>
            <w:pStyle w:val="TOC2"/>
            <w:numPr>
              <w:ilvl w:val="0"/>
              <w:numId w:val="1"/>
            </w:numPr>
            <w:tabs>
              <w:tab w:pos="1732" w:val="left" w:leader="none"/>
              <w:tab w:pos="1733" w:val="left" w:leader="none"/>
              <w:tab w:pos="10477" w:val="right" w:leader="dot"/>
            </w:tabs>
            <w:spacing w:line="240" w:lineRule="auto" w:before="161" w:after="0"/>
            <w:ind w:left="1732" w:right="0" w:hanging="315"/>
            <w:jc w:val="left"/>
          </w:pPr>
          <w:hyperlink w:history="true" w:anchor="_bookmark40">
            <w:r>
              <w:rPr/>
              <w:t>教育教学</w:t>
              <w:tab/>
              <w:t>30</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41">
            <w:r>
              <w:rPr/>
              <w:t>资源表</w:t>
              <w:tab/>
              <w:t>30</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42">
            <w:r>
              <w:rPr/>
              <w:t>立德树人</w:t>
              <w:tab/>
              <w:t>31</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43">
            <w:r>
              <w:rPr/>
              <w:t>学习贯彻全国教育大会精神</w:t>
              <w:tab/>
              <w:t>31</w:t>
            </w:r>
          </w:hyperlink>
        </w:p>
        <w:p>
          <w:pPr>
            <w:pStyle w:val="TOC4"/>
            <w:tabs>
              <w:tab w:pos="5668" w:val="left" w:leader="none"/>
              <w:tab w:pos="10477" w:val="right" w:leader="dot"/>
            </w:tabs>
            <w:ind w:left="2258" w:firstLine="0"/>
          </w:pPr>
          <w:hyperlink w:history="true" w:anchor="_bookmark44">
            <w:r>
              <w:rPr/>
              <w:t>【典型案例</w:t>
            </w:r>
            <w:r>
              <w:rPr>
                <w:spacing w:val="-56"/>
              </w:rPr>
              <w:t> </w:t>
            </w:r>
            <w:r>
              <w:rPr/>
              <w:t>12】党建引领作用突出</w:t>
              <w:tab/>
              <w:t>喜获“全国党建工作示范高校”</w:t>
              <w:tab/>
              <w:t>32</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45">
            <w:r>
              <w:rPr/>
              <w:t>思想政治教育</w:t>
              <w:tab/>
              <w:t>32</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46">
            <w:r>
              <w:rPr/>
              <w:t>课程思政</w:t>
              <w:tab/>
              <w:t>33</w:t>
            </w:r>
          </w:hyperlink>
        </w:p>
        <w:p>
          <w:pPr>
            <w:pStyle w:val="TOC4"/>
            <w:tabs>
              <w:tab w:pos="10477" w:val="right" w:leader="dot"/>
            </w:tabs>
            <w:ind w:left="2258" w:firstLine="0"/>
          </w:pPr>
          <w:hyperlink w:history="true" w:anchor="_bookmark47">
            <w:r>
              <w:rPr/>
              <w:t>【典型案例</w:t>
            </w:r>
            <w:r>
              <w:rPr>
                <w:spacing w:val="-54"/>
              </w:rPr>
              <w:t> </w:t>
            </w:r>
            <w:r>
              <w:rPr/>
              <w:t>13】双师课堂构建大思政教育教学体系</w:t>
              <w:tab/>
              <w:t>33</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48">
            <w:r>
              <w:rPr/>
              <w:t>校园文化</w:t>
              <w:tab/>
              <w:t>34</w:t>
            </w:r>
          </w:hyperlink>
        </w:p>
        <w:p>
          <w:pPr>
            <w:pStyle w:val="TOC4"/>
            <w:tabs>
              <w:tab w:pos="10477" w:val="right" w:leader="dot"/>
            </w:tabs>
            <w:ind w:left="2258" w:firstLine="0"/>
          </w:pPr>
          <w:hyperlink w:history="true" w:anchor="_bookmark49">
            <w:r>
              <w:rPr/>
              <w:t>【典型案例</w:t>
            </w:r>
            <w:r>
              <w:rPr>
                <w:spacing w:val="-54"/>
              </w:rPr>
              <w:t> </w:t>
            </w:r>
            <w:r>
              <w:rPr/>
              <w:t>14】学院被教育部授牌“中华传统美德研究院”</w:t>
              <w:tab/>
              <w:t>35</w:t>
            </w:r>
          </w:hyperlink>
        </w:p>
        <w:p>
          <w:pPr>
            <w:pStyle w:val="TOC3"/>
            <w:numPr>
              <w:ilvl w:val="1"/>
              <w:numId w:val="1"/>
            </w:numPr>
            <w:tabs>
              <w:tab w:pos="2363" w:val="left" w:leader="none"/>
              <w:tab w:pos="2364" w:val="left" w:leader="none"/>
              <w:tab w:pos="10477" w:val="right" w:leader="dot"/>
            </w:tabs>
            <w:spacing w:line="240" w:lineRule="auto" w:before="42" w:after="0"/>
            <w:ind w:left="2364" w:right="0" w:hanging="526"/>
            <w:jc w:val="left"/>
          </w:pPr>
          <w:hyperlink w:history="true" w:anchor="_bookmark50">
            <w:r>
              <w:rPr/>
              <w:t>学生反馈表</w:t>
              <w:tab/>
              <w:t>36</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51">
            <w:r>
              <w:rPr/>
              <w:t>专业(群)建设</w:t>
              <w:tab/>
              <w:t>37</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52">
            <w:r>
              <w:rPr/>
              <w:t>对接产业构建专业集群</w:t>
              <w:tab/>
              <w:t>37</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53">
            <w:r>
              <w:rPr/>
              <w:t>专业品牌优势明显</w:t>
              <w:tab/>
              <w:t>37</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54">
            <w:r>
              <w:rPr/>
              <w:t>教学改革</w:t>
              <w:tab/>
              <w:t>38</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55">
            <w:r>
              <w:rPr/>
              <w:t>教学标准建设</w:t>
              <w:tab/>
              <w:t>38</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56">
            <w:r>
              <w:rPr/>
              <w:t>教学改革</w:t>
              <w:tab/>
              <w:t>38</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57">
            <w:r>
              <w:rPr/>
              <w:t>教学管理</w:t>
              <w:tab/>
              <w:t>39</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58">
            <w:r>
              <w:rPr/>
              <w:t>课程改革</w:t>
              <w:tab/>
              <w:t>39</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59">
            <w:r>
              <w:rPr/>
              <w:t>信息化教学</w:t>
              <w:tab/>
              <w:t>40</w:t>
            </w:r>
          </w:hyperlink>
        </w:p>
        <w:p>
          <w:pPr>
            <w:pStyle w:val="TOC4"/>
            <w:tabs>
              <w:tab w:pos="10477" w:val="right" w:leader="dot"/>
            </w:tabs>
            <w:ind w:left="2258" w:firstLine="0"/>
          </w:pPr>
          <w:hyperlink w:history="true" w:anchor="_bookmark60">
            <w:r>
              <w:rPr/>
              <w:t>【典型案例</w:t>
            </w:r>
            <w:r>
              <w:rPr>
                <w:spacing w:val="-54"/>
              </w:rPr>
              <w:t> </w:t>
            </w:r>
            <w:r>
              <w:rPr/>
              <w:t>15】学院牵头组建中国职业教育空间优质原创资源公共服务联盟</w:t>
              <w:tab/>
              <w:t>41</w:t>
            </w:r>
          </w:hyperlink>
        </w:p>
        <w:p>
          <w:pPr>
            <w:pStyle w:val="TOC4"/>
            <w:tabs>
              <w:tab w:pos="10477" w:val="right" w:leader="dot"/>
            </w:tabs>
            <w:ind w:left="2258" w:firstLine="0"/>
          </w:pPr>
          <w:hyperlink w:history="true" w:anchor="_bookmark61">
            <w:r>
              <w:rPr/>
              <w:t>【典型案例</w:t>
            </w:r>
            <w:r>
              <w:rPr>
                <w:spacing w:val="-54"/>
              </w:rPr>
              <w:t> </w:t>
            </w:r>
            <w:r>
              <w:rPr/>
              <w:t>16】学院立项国家级专业教学资源库(备选库)</w:t>
              <w:tab/>
              <w:t>42</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62">
            <w:r>
              <w:rPr/>
              <w:t>师资队伍</w:t>
              <w:tab/>
              <w:t>43</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63">
            <w:r>
              <w:rPr/>
              <w:t>教师队伍整体情况</w:t>
              <w:tab/>
              <w:t>43</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64">
            <w:r>
              <w:rPr/>
              <w:t>领军人才队伍建设</w:t>
              <w:tab/>
              <w:t>45</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65">
            <w:r>
              <w:rPr/>
              <w:t>教师培养培训</w:t>
              <w:tab/>
              <w:t>45</w:t>
            </w:r>
          </w:hyperlink>
        </w:p>
        <w:p>
          <w:pPr>
            <w:pStyle w:val="TOC4"/>
            <w:numPr>
              <w:ilvl w:val="2"/>
              <w:numId w:val="1"/>
            </w:numPr>
            <w:tabs>
              <w:tab w:pos="2992" w:val="left" w:leader="none"/>
              <w:tab w:pos="2993" w:val="left" w:leader="none"/>
              <w:tab w:pos="10477" w:val="right" w:leader="dot"/>
            </w:tabs>
            <w:spacing w:line="240" w:lineRule="auto" w:before="42" w:after="0"/>
            <w:ind w:left="2992" w:right="0" w:hanging="735"/>
            <w:jc w:val="left"/>
          </w:pPr>
          <w:hyperlink w:history="true" w:anchor="_bookmark66">
            <w:r>
              <w:rPr/>
              <w:t>兼职教师队伍建设成效显著</w:t>
              <w:tab/>
              <w:t>45</w:t>
            </w:r>
          </w:hyperlink>
        </w:p>
        <w:p>
          <w:pPr>
            <w:pStyle w:val="TOC2"/>
            <w:numPr>
              <w:ilvl w:val="0"/>
              <w:numId w:val="1"/>
            </w:numPr>
            <w:tabs>
              <w:tab w:pos="1732" w:val="left" w:leader="none"/>
              <w:tab w:pos="1733" w:val="left" w:leader="none"/>
              <w:tab w:pos="10477" w:val="right" w:leader="dot"/>
            </w:tabs>
            <w:spacing w:line="240" w:lineRule="auto" w:before="43" w:after="0"/>
            <w:ind w:left="1732" w:right="0" w:hanging="315"/>
            <w:jc w:val="left"/>
          </w:pPr>
          <w:hyperlink w:history="true" w:anchor="_bookmark67">
            <w:r>
              <w:rPr/>
              <w:t>产教融合</w:t>
              <w:tab/>
              <w:t>47</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68">
            <w:r>
              <w:rPr/>
              <w:t>产教供需对接</w:t>
              <w:tab/>
              <w:t>47</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69">
            <w:r>
              <w:rPr/>
              <w:t>校企协同育人</w:t>
              <w:tab/>
              <w:t>48</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70">
            <w:r>
              <w:rPr/>
              <w:t>现代学徒制人才培养</w:t>
              <w:tab/>
              <w:t>48</w:t>
            </w:r>
          </w:hyperlink>
        </w:p>
        <w:p>
          <w:pPr>
            <w:pStyle w:val="TOC4"/>
            <w:tabs>
              <w:tab w:pos="10477" w:val="right" w:leader="dot"/>
            </w:tabs>
            <w:ind w:left="2258" w:firstLine="0"/>
          </w:pPr>
          <w:hyperlink w:history="true" w:anchor="_bookmark71">
            <w:r>
              <w:rPr/>
              <w:t>【典型案例</w:t>
            </w:r>
            <w:r>
              <w:rPr>
                <w:spacing w:val="-54"/>
              </w:rPr>
              <w:t> </w:t>
            </w:r>
            <w:r>
              <w:rPr/>
              <w:t>17】学院全国现代学徒制试点单位</w:t>
              <w:tab/>
              <w:t>48</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72">
            <w:r>
              <w:rPr/>
              <w:t>订单培养</w:t>
              <w:tab/>
              <w:t>49</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73">
            <w:r>
              <w:rPr/>
              <w:t>校企协同创新</w:t>
              <w:tab/>
              <w:t>49</w:t>
            </w:r>
          </w:hyperlink>
        </w:p>
        <w:p>
          <w:pPr>
            <w:pStyle w:val="TOC2"/>
            <w:numPr>
              <w:ilvl w:val="0"/>
              <w:numId w:val="1"/>
            </w:numPr>
            <w:tabs>
              <w:tab w:pos="1732" w:val="left" w:leader="none"/>
              <w:tab w:pos="1733" w:val="left" w:leader="none"/>
              <w:tab w:pos="10477" w:val="right" w:leader="dot"/>
            </w:tabs>
            <w:spacing w:line="240" w:lineRule="auto" w:before="43" w:after="0"/>
            <w:ind w:left="1732" w:right="0" w:hanging="315"/>
            <w:jc w:val="left"/>
          </w:pPr>
          <w:hyperlink w:history="true" w:anchor="_bookmark74">
            <w:r>
              <w:rPr/>
              <w:t>政策保障</w:t>
              <w:tab/>
              <w:t>51</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75">
            <w:r>
              <w:rPr/>
              <w:t>落实政策表</w:t>
              <w:tab/>
              <w:t>51</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76">
            <w:r>
              <w:rPr/>
              <w:t>政策创新</w:t>
              <w:tab/>
              <w:t>51</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77">
            <w:r>
              <w:rPr/>
              <w:t>产业大师进校园</w:t>
              <w:tab/>
              <w:t>51</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78">
            <w:r>
              <w:rPr/>
              <w:t>创新校企合作机制</w:t>
              <w:tab/>
              <w:t>53</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79">
            <w:r>
              <w:rPr/>
              <w:t>用好学院办学自主权</w:t>
              <w:tab/>
              <w:t>54</w:t>
            </w:r>
          </w:hyperlink>
        </w:p>
        <w:p>
          <w:pPr>
            <w:pStyle w:val="TOC3"/>
            <w:numPr>
              <w:ilvl w:val="1"/>
              <w:numId w:val="1"/>
            </w:numPr>
            <w:tabs>
              <w:tab w:pos="2363" w:val="left" w:leader="none"/>
              <w:tab w:pos="2364" w:val="left" w:leader="none"/>
              <w:tab w:pos="10477" w:val="right" w:leader="dot"/>
            </w:tabs>
            <w:spacing w:line="240" w:lineRule="auto" w:before="43" w:after="0"/>
            <w:ind w:left="2364" w:right="0" w:hanging="526"/>
            <w:jc w:val="left"/>
          </w:pPr>
          <w:hyperlink w:history="true" w:anchor="_bookmark80">
            <w:r>
              <w:rPr/>
              <w:t>机制保障</w:t>
              <w:tab/>
              <w:t>55</w:t>
            </w:r>
          </w:hyperlink>
        </w:p>
        <w:p>
          <w:pPr>
            <w:pStyle w:val="TOC4"/>
            <w:numPr>
              <w:ilvl w:val="2"/>
              <w:numId w:val="1"/>
            </w:numPr>
            <w:tabs>
              <w:tab w:pos="2992" w:val="left" w:leader="none"/>
              <w:tab w:pos="2993" w:val="left" w:leader="none"/>
              <w:tab w:pos="10477" w:val="right" w:leader="dot"/>
            </w:tabs>
            <w:spacing w:line="240" w:lineRule="auto" w:before="43" w:after="0"/>
            <w:ind w:left="2992" w:right="0" w:hanging="735"/>
            <w:jc w:val="left"/>
          </w:pPr>
          <w:hyperlink w:history="true" w:anchor="_bookmark81">
            <w:r>
              <w:rPr/>
              <w:t>创新行动计划实施成效</w:t>
              <w:tab/>
              <w:t>55</w:t>
            </w:r>
          </w:hyperlink>
        </w:p>
        <w:p>
          <w:pPr>
            <w:pStyle w:val="TOC4"/>
            <w:numPr>
              <w:ilvl w:val="2"/>
              <w:numId w:val="1"/>
            </w:numPr>
            <w:tabs>
              <w:tab w:pos="2992" w:val="left" w:leader="none"/>
              <w:tab w:pos="2993" w:val="left" w:leader="none"/>
              <w:tab w:pos="10477" w:val="right" w:leader="dot"/>
            </w:tabs>
            <w:spacing w:line="240" w:lineRule="auto" w:before="42" w:after="0"/>
            <w:ind w:left="2992" w:right="0" w:hanging="735"/>
            <w:jc w:val="left"/>
          </w:pPr>
          <w:hyperlink w:history="true" w:anchor="_bookmark82">
            <w:r>
              <w:rPr/>
              <w:t>教学工作诊断与改进情况</w:t>
              <w:tab/>
              <w:t>56</w:t>
            </w:r>
          </w:hyperlink>
        </w:p>
        <w:p>
          <w:pPr>
            <w:pStyle w:val="TOC3"/>
            <w:numPr>
              <w:ilvl w:val="1"/>
              <w:numId w:val="1"/>
            </w:numPr>
            <w:tabs>
              <w:tab w:pos="2363" w:val="left" w:leader="none"/>
              <w:tab w:pos="2364" w:val="left" w:leader="none"/>
              <w:tab w:pos="10477" w:val="right" w:leader="dot"/>
            </w:tabs>
            <w:spacing w:line="240" w:lineRule="auto" w:before="43" w:after="240"/>
            <w:ind w:left="2364" w:right="0" w:hanging="526"/>
            <w:jc w:val="left"/>
          </w:pPr>
          <w:hyperlink w:history="true" w:anchor="_bookmark83">
            <w:r>
              <w:rPr/>
              <w:t>经费保障</w:t>
              <w:tab/>
              <w:t>57</w:t>
            </w:r>
          </w:hyperlink>
        </w:p>
        <w:p>
          <w:pPr>
            <w:pStyle w:val="TOC2"/>
            <w:numPr>
              <w:ilvl w:val="0"/>
              <w:numId w:val="1"/>
            </w:numPr>
            <w:tabs>
              <w:tab w:pos="1732" w:val="left" w:leader="none"/>
              <w:tab w:pos="1733" w:val="left" w:leader="none"/>
              <w:tab w:pos="10267" w:val="left" w:leader="dot"/>
            </w:tabs>
            <w:spacing w:line="240" w:lineRule="auto" w:before="161" w:after="0"/>
            <w:ind w:left="1732" w:right="0" w:hanging="315"/>
            <w:jc w:val="left"/>
          </w:pPr>
          <w:hyperlink w:history="true" w:anchor="_bookmark84">
            <w:r>
              <w:rPr/>
              <w:t>国际合作</w:t>
              <w:tab/>
              <w:t>58</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85">
            <w:r>
              <w:rPr/>
              <w:t>国际影响表</w:t>
              <w:tab/>
              <w:t>58</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86">
            <w:r>
              <w:rPr/>
              <w:t>与“一带一路”沿线国家合作</w:t>
              <w:tab/>
              <w:t>60</w:t>
            </w:r>
          </w:hyperlink>
        </w:p>
        <w:p>
          <w:pPr>
            <w:pStyle w:val="TOC1"/>
            <w:tabs>
              <w:tab w:pos="8008" w:val="left" w:leader="dot"/>
            </w:tabs>
          </w:pPr>
          <w:hyperlink w:history="true" w:anchor="_bookmark87">
            <w:r>
              <w:rPr/>
              <w:t>【典型案例</w:t>
            </w:r>
            <w:r>
              <w:rPr>
                <w:spacing w:val="-57"/>
              </w:rPr>
              <w:t> </w:t>
            </w:r>
            <w:r>
              <w:rPr/>
              <w:t>18】学院招收泰国、巴基斯坦留学生</w:t>
              <w:tab/>
              <w:t>60</w:t>
            </w:r>
          </w:hyperlink>
        </w:p>
        <w:p>
          <w:pPr>
            <w:pStyle w:val="TOC1"/>
            <w:tabs>
              <w:tab w:pos="8008" w:val="left" w:leader="dot"/>
            </w:tabs>
          </w:pPr>
          <w:hyperlink w:history="true" w:anchor="_bookmark88">
            <w:r>
              <w:rPr/>
              <w:t>【典型案例</w:t>
            </w:r>
            <w:r>
              <w:rPr>
                <w:spacing w:val="-56"/>
              </w:rPr>
              <w:t> </w:t>
            </w:r>
            <w:r>
              <w:rPr/>
              <w:t>19】学院与</w:t>
            </w:r>
            <w:r>
              <w:rPr>
                <w:spacing w:val="-53"/>
              </w:rPr>
              <w:t> </w:t>
            </w:r>
            <w:r>
              <w:rPr/>
              <w:t>Infinity</w:t>
            </w:r>
            <w:r>
              <w:rPr>
                <w:spacing w:val="-56"/>
              </w:rPr>
              <w:t> </w:t>
            </w:r>
            <w:r>
              <w:rPr/>
              <w:t>工程学院互建教学点</w:t>
              <w:tab/>
              <w:t>61</w:t>
            </w:r>
          </w:hyperlink>
        </w:p>
        <w:p>
          <w:pPr>
            <w:pStyle w:val="TOC4"/>
            <w:tabs>
              <w:tab w:pos="2363" w:val="left" w:leader="none"/>
              <w:tab w:pos="10267" w:val="left" w:leader="dot"/>
            </w:tabs>
            <w:spacing w:line="278" w:lineRule="auto"/>
            <w:ind w:left="1838" w:right="1405" w:firstLine="420"/>
            <w:jc w:val="right"/>
          </w:pPr>
          <w:hyperlink w:history="true" w:anchor="_bookmark89">
            <w:r>
              <w:rPr/>
              <w:t>【典型案例</w:t>
            </w:r>
            <w:r>
              <w:rPr>
                <w:spacing w:val="-74"/>
              </w:rPr>
              <w:t> </w:t>
            </w:r>
            <w:r>
              <w:rPr/>
              <w:t>20】学院与巴基斯坦签订成立“中巴经济走廊化工涂料技术交流中心”项目62</w:t>
            </w:r>
          </w:hyperlink>
          <w:r>
            <w:rPr>
              <w:w w:val="99"/>
            </w:rPr>
            <w:t> </w:t>
          </w:r>
          <w:hyperlink w:history="true" w:anchor="_bookmark90">
            <w:r>
              <w:rPr/>
              <w:t>6.3</w:t>
              <w:tab/>
              <w:t>与世界</w:t>
            </w:r>
            <w:r>
              <w:rPr>
                <w:spacing w:val="-54"/>
              </w:rPr>
              <w:t> </w:t>
            </w:r>
            <w:r>
              <w:rPr/>
              <w:t>500</w:t>
            </w:r>
            <w:r>
              <w:rPr>
                <w:spacing w:val="-55"/>
              </w:rPr>
              <w:t> </w:t>
            </w:r>
            <w:r>
              <w:rPr/>
              <w:t>强企业合作</w:t>
              <w:tab/>
            </w:r>
            <w:r>
              <w:rPr>
                <w:w w:val="95"/>
              </w:rPr>
              <w:t>63</w:t>
            </w:r>
          </w:hyperlink>
        </w:p>
        <w:p>
          <w:pPr>
            <w:pStyle w:val="TOC3"/>
            <w:numPr>
              <w:ilvl w:val="0"/>
              <w:numId w:val="1"/>
            </w:numPr>
            <w:tabs>
              <w:tab w:pos="2152" w:val="left" w:leader="none"/>
              <w:tab w:pos="2153" w:val="left" w:leader="none"/>
              <w:tab w:pos="10267" w:val="left" w:leader="dot"/>
            </w:tabs>
            <w:spacing w:line="269" w:lineRule="exact" w:before="0" w:after="0"/>
            <w:ind w:left="2152" w:right="0" w:hanging="315"/>
            <w:jc w:val="left"/>
          </w:pPr>
          <w:hyperlink w:history="true" w:anchor="_bookmark91">
            <w:r>
              <w:rPr/>
              <w:t>服务贡献</w:t>
              <w:tab/>
              <w:t>64</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92">
            <w:r>
              <w:rPr/>
              <w:t>服务贡献表</w:t>
              <w:tab/>
              <w:t>64</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93">
            <w:r>
              <w:rPr/>
              <w:t>服务脱贫攻坚战略</w:t>
              <w:tab/>
              <w:t>64</w:t>
            </w:r>
          </w:hyperlink>
        </w:p>
        <w:p>
          <w:pPr>
            <w:pStyle w:val="TOC4"/>
            <w:tabs>
              <w:tab w:pos="10267" w:val="left" w:leader="dot"/>
            </w:tabs>
            <w:ind w:left="2258" w:firstLine="0"/>
          </w:pPr>
          <w:hyperlink w:history="true" w:anchor="_bookmark94">
            <w:r>
              <w:rPr/>
              <w:t>【典型案例</w:t>
            </w:r>
            <w:r>
              <w:rPr>
                <w:spacing w:val="-59"/>
              </w:rPr>
              <w:t> </w:t>
            </w:r>
            <w:r>
              <w:rPr/>
              <w:t>21】学院开展结对帮扶“大走访、抓落实、促提升”活动</w:t>
              <w:tab/>
              <w:t>65</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95">
            <w:r>
              <w:rPr/>
              <w:t>服务“一带一部”和产业升级</w:t>
              <w:tab/>
              <w:t>65</w:t>
            </w:r>
          </w:hyperlink>
        </w:p>
        <w:p>
          <w:pPr>
            <w:pStyle w:val="TOC3"/>
            <w:numPr>
              <w:ilvl w:val="1"/>
              <w:numId w:val="1"/>
            </w:numPr>
            <w:tabs>
              <w:tab w:pos="2363" w:val="left" w:leader="none"/>
              <w:tab w:pos="2364" w:val="left" w:leader="none"/>
              <w:tab w:pos="10267" w:val="left" w:leader="dot"/>
            </w:tabs>
            <w:spacing w:line="240" w:lineRule="auto" w:before="42" w:after="0"/>
            <w:ind w:left="2364" w:right="0" w:hanging="526"/>
            <w:jc w:val="left"/>
          </w:pPr>
          <w:hyperlink w:history="true" w:anchor="_bookmark96">
            <w:r>
              <w:rPr/>
              <w:t>服务湖南制造</w:t>
              <w:tab/>
              <w:t>65</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97">
            <w:r>
              <w:rPr/>
              <w:t>服务社区文化建设</w:t>
              <w:tab/>
              <w:t>67</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98">
            <w:r>
              <w:rPr/>
              <w:t>服务湖南职业教育发展</w:t>
              <w:tab/>
              <w:t>67</w:t>
            </w:r>
          </w:hyperlink>
        </w:p>
        <w:p>
          <w:pPr>
            <w:pStyle w:val="TOC4"/>
            <w:tabs>
              <w:tab w:pos="10267" w:val="left" w:leader="dot"/>
            </w:tabs>
            <w:ind w:left="2258" w:firstLine="0"/>
          </w:pPr>
          <w:hyperlink w:history="true" w:anchor="_bookmark99">
            <w:r>
              <w:rPr/>
              <w:t>【典型案例</w:t>
            </w:r>
            <w:r>
              <w:rPr>
                <w:spacing w:val="-56"/>
              </w:rPr>
              <w:t> </w:t>
            </w:r>
            <w:r>
              <w:rPr/>
              <w:t>22】精准培训促提升</w:t>
            </w:r>
            <w:r>
              <w:rPr>
                <w:spacing w:val="-3"/>
              </w:rPr>
              <w:t> </w:t>
            </w:r>
            <w:r>
              <w:rPr/>
              <w:t>送培到校推发展</w:t>
              <w:tab/>
              <w:t>67</w:t>
            </w:r>
          </w:hyperlink>
        </w:p>
        <w:p>
          <w:pPr>
            <w:pStyle w:val="TOC2"/>
            <w:numPr>
              <w:ilvl w:val="0"/>
              <w:numId w:val="1"/>
            </w:numPr>
            <w:tabs>
              <w:tab w:pos="1732" w:val="left" w:leader="none"/>
              <w:tab w:pos="1733" w:val="left" w:leader="none"/>
              <w:tab w:pos="10267" w:val="left" w:leader="dot"/>
            </w:tabs>
            <w:spacing w:line="240" w:lineRule="auto" w:before="43" w:after="0"/>
            <w:ind w:left="1732" w:right="0" w:hanging="315"/>
            <w:jc w:val="left"/>
          </w:pPr>
          <w:hyperlink w:history="true" w:anchor="_bookmark100">
            <w:r>
              <w:rPr/>
              <w:t>问题与挑战</w:t>
              <w:tab/>
              <w:t>69</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101">
            <w:r>
              <w:rPr/>
              <w:t>学院发展面临的主要问题</w:t>
              <w:tab/>
              <w:t>69</w:t>
            </w:r>
          </w:hyperlink>
        </w:p>
        <w:p>
          <w:pPr>
            <w:pStyle w:val="TOC4"/>
            <w:numPr>
              <w:ilvl w:val="2"/>
              <w:numId w:val="1"/>
            </w:numPr>
            <w:tabs>
              <w:tab w:pos="2992" w:val="left" w:leader="none"/>
              <w:tab w:pos="2993" w:val="left" w:leader="none"/>
              <w:tab w:pos="10267" w:val="left" w:leader="dot"/>
            </w:tabs>
            <w:spacing w:line="240" w:lineRule="auto" w:before="43" w:after="0"/>
            <w:ind w:left="2992" w:right="0" w:hanging="735"/>
            <w:jc w:val="left"/>
          </w:pPr>
          <w:hyperlink w:history="true" w:anchor="_bookmark102">
            <w:r>
              <w:rPr/>
              <w:t>校企合作、产教融合长效机制尚不健全</w:t>
              <w:tab/>
              <w:t>69</w:t>
            </w:r>
          </w:hyperlink>
        </w:p>
        <w:p>
          <w:pPr>
            <w:pStyle w:val="TOC4"/>
            <w:numPr>
              <w:ilvl w:val="2"/>
              <w:numId w:val="1"/>
            </w:numPr>
            <w:tabs>
              <w:tab w:pos="2992" w:val="left" w:leader="none"/>
              <w:tab w:pos="2993" w:val="left" w:leader="none"/>
              <w:tab w:pos="10267" w:val="left" w:leader="dot"/>
            </w:tabs>
            <w:spacing w:line="240" w:lineRule="auto" w:before="43" w:after="0"/>
            <w:ind w:left="2992" w:right="0" w:hanging="735"/>
            <w:jc w:val="left"/>
          </w:pPr>
          <w:hyperlink w:history="true" w:anchor="_bookmark103">
            <w:r>
              <w:rPr/>
              <w:t>领军人才引进培养和教师应用技术研发服务能力还有一定差距</w:t>
              <w:tab/>
              <w:t>69</w:t>
            </w:r>
          </w:hyperlink>
        </w:p>
        <w:p>
          <w:pPr>
            <w:pStyle w:val="TOC4"/>
            <w:numPr>
              <w:ilvl w:val="2"/>
              <w:numId w:val="1"/>
            </w:numPr>
            <w:tabs>
              <w:tab w:pos="2992" w:val="left" w:leader="none"/>
              <w:tab w:pos="2993" w:val="left" w:leader="none"/>
              <w:tab w:pos="10267" w:val="left" w:leader="dot"/>
            </w:tabs>
            <w:spacing w:line="240" w:lineRule="auto" w:before="43" w:after="0"/>
            <w:ind w:left="2992" w:right="0" w:hanging="735"/>
            <w:jc w:val="left"/>
          </w:pPr>
          <w:hyperlink w:history="true" w:anchor="_bookmark104">
            <w:r>
              <w:rPr/>
              <w:t>治理运行机制需进一步完善</w:t>
              <w:tab/>
              <w:t>69</w:t>
            </w:r>
          </w:hyperlink>
        </w:p>
        <w:p>
          <w:pPr>
            <w:pStyle w:val="TOC3"/>
            <w:numPr>
              <w:ilvl w:val="1"/>
              <w:numId w:val="1"/>
            </w:numPr>
            <w:tabs>
              <w:tab w:pos="2363" w:val="left" w:leader="none"/>
              <w:tab w:pos="2364" w:val="left" w:leader="none"/>
              <w:tab w:pos="10267" w:val="left" w:leader="dot"/>
            </w:tabs>
            <w:spacing w:line="240" w:lineRule="auto" w:before="43" w:after="0"/>
            <w:ind w:left="2364" w:right="0" w:hanging="526"/>
            <w:jc w:val="left"/>
          </w:pPr>
          <w:hyperlink w:history="true" w:anchor="_bookmark105">
            <w:r>
              <w:rPr/>
              <w:t>工作展望</w:t>
              <w:tab/>
              <w:t>69</w:t>
            </w:r>
          </w:hyperlink>
        </w:p>
        <w:p>
          <w:pPr>
            <w:pStyle w:val="TOC4"/>
            <w:tabs>
              <w:tab w:pos="3045" w:val="left" w:leader="none"/>
              <w:tab w:pos="10267" w:val="left" w:leader="dot"/>
            </w:tabs>
            <w:ind w:left="2258" w:firstLine="0"/>
          </w:pPr>
          <w:hyperlink w:history="true" w:anchor="_bookmark106">
            <w:r>
              <w:rPr/>
              <w:t>附表</w:t>
            </w:r>
            <w:r>
              <w:rPr>
                <w:spacing w:val="-54"/>
              </w:rPr>
              <w:t> </w:t>
            </w:r>
            <w:r>
              <w:rPr/>
              <w:t>1</w:t>
              <w:tab/>
              <w:t>计分卡</w:t>
              <w:tab/>
              <w:t>70</w:t>
            </w:r>
          </w:hyperlink>
        </w:p>
        <w:p>
          <w:pPr>
            <w:pStyle w:val="TOC4"/>
            <w:tabs>
              <w:tab w:pos="3045" w:val="left" w:leader="none"/>
              <w:tab w:pos="10267" w:val="left" w:leader="dot"/>
            </w:tabs>
            <w:ind w:left="2258" w:firstLine="0"/>
          </w:pPr>
          <w:hyperlink w:history="true" w:anchor="_bookmark107">
            <w:r>
              <w:rPr/>
              <w:t>附表</w:t>
            </w:r>
            <w:r>
              <w:rPr>
                <w:spacing w:val="-54"/>
              </w:rPr>
              <w:t> </w:t>
            </w:r>
            <w:r>
              <w:rPr/>
              <w:t>2</w:t>
              <w:tab/>
              <w:t>学生反馈表</w:t>
              <w:tab/>
              <w:t>71</w:t>
            </w:r>
          </w:hyperlink>
        </w:p>
        <w:p>
          <w:pPr>
            <w:pStyle w:val="TOC4"/>
            <w:tabs>
              <w:tab w:pos="3045" w:val="left" w:leader="none"/>
              <w:tab w:pos="10267" w:val="left" w:leader="dot"/>
            </w:tabs>
            <w:ind w:left="2258" w:firstLine="0"/>
          </w:pPr>
          <w:hyperlink w:history="true" w:anchor="_bookmark108">
            <w:r>
              <w:rPr/>
              <w:t>附表</w:t>
            </w:r>
            <w:r>
              <w:rPr>
                <w:spacing w:val="-54"/>
              </w:rPr>
              <w:t> </w:t>
            </w:r>
            <w:r>
              <w:rPr/>
              <w:t>3</w:t>
              <w:tab/>
              <w:t>资源表</w:t>
              <w:tab/>
              <w:t>73</w:t>
            </w:r>
          </w:hyperlink>
        </w:p>
        <w:p>
          <w:pPr>
            <w:pStyle w:val="TOC4"/>
            <w:tabs>
              <w:tab w:pos="3045" w:val="left" w:leader="none"/>
              <w:tab w:pos="10267" w:val="left" w:leader="dot"/>
            </w:tabs>
            <w:ind w:left="2258" w:firstLine="0"/>
          </w:pPr>
          <w:hyperlink w:history="true" w:anchor="_bookmark109">
            <w:r>
              <w:rPr/>
              <w:t>附表</w:t>
            </w:r>
            <w:r>
              <w:rPr>
                <w:spacing w:val="-54"/>
              </w:rPr>
              <w:t> </w:t>
            </w:r>
            <w:r>
              <w:rPr/>
              <w:t>4</w:t>
              <w:tab/>
              <w:t>国际影响表</w:t>
              <w:tab/>
              <w:t>74</w:t>
            </w:r>
          </w:hyperlink>
        </w:p>
        <w:p>
          <w:pPr>
            <w:pStyle w:val="TOC4"/>
            <w:tabs>
              <w:tab w:pos="3045" w:val="left" w:leader="none"/>
              <w:tab w:pos="10267" w:val="left" w:leader="dot"/>
            </w:tabs>
            <w:ind w:left="2258" w:firstLine="0"/>
          </w:pPr>
          <w:hyperlink w:history="true" w:anchor="_bookmark110">
            <w:r>
              <w:rPr/>
              <w:t>附表</w:t>
            </w:r>
            <w:r>
              <w:rPr>
                <w:spacing w:val="-54"/>
              </w:rPr>
              <w:t> </w:t>
            </w:r>
            <w:r>
              <w:rPr/>
              <w:t>5</w:t>
              <w:tab/>
              <w:t>服务贡献表</w:t>
              <w:tab/>
              <w:t>80</w:t>
            </w:r>
          </w:hyperlink>
        </w:p>
        <w:p>
          <w:pPr>
            <w:pStyle w:val="TOC4"/>
            <w:tabs>
              <w:tab w:pos="3045" w:val="left" w:leader="none"/>
              <w:tab w:pos="10267" w:val="left" w:leader="dot"/>
            </w:tabs>
            <w:ind w:left="2258" w:firstLine="0"/>
          </w:pPr>
          <w:hyperlink w:history="true" w:anchor="_bookmark111">
            <w:r>
              <w:rPr/>
              <w:t>附表</w:t>
            </w:r>
            <w:r>
              <w:rPr>
                <w:spacing w:val="-54"/>
              </w:rPr>
              <w:t> </w:t>
            </w:r>
            <w:r>
              <w:rPr/>
              <w:t>6</w:t>
              <w:tab/>
              <w:t>落实政策表</w:t>
              <w:tab/>
              <w:t>81</w:t>
            </w:r>
          </w:hyperlink>
        </w:p>
      </w:sdtContent>
    </w:sdt>
    <w:p>
      <w:pPr>
        <w:spacing w:after="0"/>
        <w:sectPr>
          <w:type w:val="continuous"/>
          <w:pgSz w:w="11910" w:h="16840"/>
          <w:pgMar w:top="1280" w:bottom="1453" w:left="0" w:right="0"/>
        </w:sectPr>
      </w:pPr>
    </w:p>
    <w:p>
      <w:pPr>
        <w:pStyle w:val="BodyText"/>
        <w:rPr>
          <w:rFonts w:ascii="楷体"/>
          <w:sz w:val="30"/>
        </w:rPr>
      </w:pPr>
    </w:p>
    <w:p>
      <w:pPr>
        <w:pStyle w:val="Heading1"/>
        <w:numPr>
          <w:ilvl w:val="0"/>
          <w:numId w:val="2"/>
        </w:numPr>
        <w:tabs>
          <w:tab w:pos="2397" w:val="left" w:leader="none"/>
          <w:tab w:pos="2398" w:val="left" w:leader="none"/>
        </w:tabs>
        <w:spacing w:line="240" w:lineRule="auto" w:before="199" w:after="0"/>
        <w:ind w:left="2397" w:right="0" w:hanging="421"/>
        <w:jc w:val="left"/>
      </w:pPr>
      <w:bookmarkStart w:name="1  学院发展" w:id="1"/>
      <w:bookmarkEnd w:id="1"/>
      <w:r>
        <w:rPr>
          <w:b w:val="0"/>
        </w:rPr>
      </w:r>
      <w:bookmarkStart w:name="_bookmark0" w:id="2"/>
      <w:bookmarkEnd w:id="2"/>
      <w:r>
        <w:rPr>
          <w:b w:val="0"/>
        </w:rPr>
      </w:r>
      <w:bookmarkStart w:name="_bookmark0" w:id="3"/>
      <w:bookmarkEnd w:id="3"/>
      <w:r>
        <w:rPr>
          <w:spacing w:val="-1"/>
          <w:w w:val="95"/>
        </w:rPr>
        <w:t>学院发展</w:t>
      </w:r>
    </w:p>
    <w:p>
      <w:pPr>
        <w:pStyle w:val="BodyText"/>
        <w:spacing w:before="11"/>
        <w:rPr>
          <w:rFonts w:ascii="黑体"/>
          <w:b/>
          <w:sz w:val="34"/>
        </w:rPr>
      </w:pPr>
    </w:p>
    <w:p>
      <w:pPr>
        <w:pStyle w:val="Heading2"/>
        <w:numPr>
          <w:ilvl w:val="1"/>
          <w:numId w:val="2"/>
        </w:numPr>
        <w:tabs>
          <w:tab w:pos="2471" w:val="left" w:leader="none"/>
          <w:tab w:pos="2472" w:val="left" w:leader="none"/>
        </w:tabs>
        <w:spacing w:line="240" w:lineRule="auto" w:before="0" w:after="0"/>
        <w:ind w:left="2472" w:right="0" w:hanging="574"/>
        <w:jc w:val="left"/>
        <w:rPr>
          <w:rFonts w:ascii="Arial" w:eastAsia="Arial"/>
        </w:rPr>
      </w:pPr>
      <w:bookmarkStart w:name="1.1  发展历程" w:id="4"/>
      <w:bookmarkEnd w:id="4"/>
      <w:r>
        <w:rPr>
          <w:b w:val="0"/>
        </w:rPr>
      </w:r>
      <w:bookmarkStart w:name="_bookmark1" w:id="5"/>
      <w:bookmarkEnd w:id="5"/>
      <w:r>
        <w:rPr>
          <w:b w:val="0"/>
        </w:rPr>
      </w:r>
      <w:bookmarkStart w:name="_bookmark1" w:id="6"/>
      <w:bookmarkEnd w:id="6"/>
      <w:r>
        <w:rPr>
          <w:w w:val="95"/>
        </w:rPr>
        <w:t>发展历程</w:t>
      </w:r>
    </w:p>
    <w:p>
      <w:pPr>
        <w:pStyle w:val="BodyText"/>
        <w:spacing w:before="6"/>
        <w:rPr>
          <w:rFonts w:ascii="黑体"/>
          <w:b/>
        </w:rPr>
      </w:pPr>
    </w:p>
    <w:p>
      <w:pPr>
        <w:pStyle w:val="BodyText"/>
        <w:spacing w:line="364" w:lineRule="auto" w:before="1"/>
        <w:ind w:left="1418" w:right="1297" w:firstLine="480"/>
      </w:pPr>
      <w:r>
        <w:rPr>
          <w:spacing w:val="-3"/>
        </w:rPr>
        <w:t>湖南化工职业技术学院是由湖南省人民政府举办、湖南省教育厅直属的国有公办全</w:t>
      </w:r>
      <w:r>
        <w:rPr>
          <w:spacing w:val="-10"/>
        </w:rPr>
        <w:t>日制普通高校。学院创建于 </w:t>
      </w:r>
      <w:r>
        <w:rPr/>
        <w:t>1958</w:t>
      </w:r>
      <w:r>
        <w:rPr>
          <w:spacing w:val="-13"/>
        </w:rPr>
        <w:t> 年，前身为湖南省化学工业学校，建校 </w:t>
      </w:r>
      <w:r>
        <w:rPr/>
        <w:t>60</w:t>
      </w:r>
      <w:r>
        <w:rPr>
          <w:spacing w:val="-14"/>
        </w:rPr>
        <w:t> 年来，经历</w:t>
      </w:r>
      <w:r>
        <w:rPr>
          <w:spacing w:val="-15"/>
        </w:rPr>
        <w:t>了创建与停办、恢复与调整、合并与跨越、改革与发展等历程。</w:t>
      </w:r>
      <w:r>
        <w:rPr/>
        <w:t>1998</w:t>
      </w:r>
      <w:r>
        <w:rPr>
          <w:spacing w:val="-40"/>
        </w:rPr>
        <w:t> 年 </w:t>
      </w:r>
      <w:r>
        <w:rPr/>
        <w:t>9</w:t>
      </w:r>
      <w:r>
        <w:rPr>
          <w:spacing w:val="-9"/>
        </w:rPr>
        <w:t> 月与湖南省资</w:t>
      </w:r>
      <w:r>
        <w:rPr>
          <w:spacing w:val="-10"/>
        </w:rPr>
        <w:t>江化工学校合并，</w:t>
      </w:r>
      <w:r>
        <w:rPr>
          <w:spacing w:val="-16"/>
        </w:rPr>
        <w:t>2003</w:t>
      </w:r>
      <w:r>
        <w:rPr>
          <w:spacing w:val="-40"/>
        </w:rPr>
        <w:t> 年 </w:t>
      </w:r>
      <w:r>
        <w:rPr/>
        <w:t>4</w:t>
      </w:r>
      <w:r>
        <w:rPr>
          <w:spacing w:val="-17"/>
        </w:rPr>
        <w:t> 月升，经湖南省人民政府批准，格为湖南化工职业技术学院， </w:t>
      </w:r>
      <w:r>
        <w:rPr/>
        <w:t>2010</w:t>
      </w:r>
      <w:r>
        <w:rPr>
          <w:spacing w:val="-41"/>
        </w:rPr>
        <w:t> 年 </w:t>
      </w:r>
      <w:r>
        <w:rPr/>
        <w:t>1</w:t>
      </w:r>
      <w:r>
        <w:rPr>
          <w:spacing w:val="-12"/>
        </w:rPr>
        <w:t> 月与湖南化工机械学校(湖南工业高级技工学校)合并。现在，学院是全国党建</w:t>
      </w:r>
      <w:r>
        <w:rPr>
          <w:spacing w:val="-11"/>
        </w:rPr>
        <w:t>工作示范校、教育部人才培养工作水平优秀评估单位、湖南省优秀示范性(骨干)高职院</w:t>
      </w:r>
      <w:r>
        <w:rPr>
          <w:spacing w:val="-12"/>
        </w:rPr>
        <w:t>校、湖南省卓越高等职业技术学院建设单位。学院新校区占地面积 </w:t>
      </w:r>
      <w:r>
        <w:rPr/>
        <w:t>573</w:t>
      </w:r>
      <w:r>
        <w:rPr>
          <w:spacing w:val="-21"/>
        </w:rPr>
        <w:t> 亩，建筑面积 </w:t>
      </w:r>
      <w:r>
        <w:rPr/>
        <w:t>26 万多平方米。学院设有化学工程学院、制药与生物工程学院、机电工程学院、商学院、</w:t>
      </w:r>
      <w:r>
        <w:rPr>
          <w:spacing w:val="-5"/>
        </w:rPr>
        <w:t>自动化与信息工程学院等 </w:t>
      </w:r>
      <w:r>
        <w:rPr/>
        <w:t>5</w:t>
      </w:r>
      <w:r>
        <w:rPr>
          <w:spacing w:val="-19"/>
        </w:rPr>
        <w:t> 个二级学院和基础课部、思想政治课部、技工部 </w:t>
      </w:r>
      <w:r>
        <w:rPr/>
        <w:t>3</w:t>
      </w:r>
      <w:r>
        <w:rPr>
          <w:spacing w:val="-13"/>
        </w:rPr>
        <w:t> 个教学部。</w:t>
      </w:r>
    </w:p>
    <w:p>
      <w:pPr>
        <w:pStyle w:val="BodyText"/>
        <w:spacing w:line="303" w:lineRule="exact"/>
        <w:ind w:left="1418"/>
      </w:pPr>
      <w:r>
        <w:rPr/>
        <w:t>现有在职教职工近 600 人，在校学生 12000 余人，其中高职学生 10735 人。</w:t>
      </w:r>
    </w:p>
    <w:p>
      <w:pPr>
        <w:pStyle w:val="BodyText"/>
        <w:spacing w:line="364" w:lineRule="auto" w:before="160" w:after="11"/>
        <w:ind w:left="1418" w:right="1297" w:firstLine="480"/>
      </w:pPr>
      <w:r>
        <w:rPr>
          <w:spacing w:val="-6"/>
        </w:rPr>
        <w:t>近年来，学院先后荣获全国石油和化学工业先进集体、省文明高校、省职业教育先进单位、省教育科研工作先进单位，连续四次获省就业工作“一把手工程”优秀单位， 连续六年获省职业技能鉴定工作“十佳单位”，省教育信息化试点学校，省教育信息化</w:t>
      </w:r>
      <w:r>
        <w:rPr>
          <w:spacing w:val="-10"/>
        </w:rPr>
        <w:t>创新应用示范学校，省高校大学生创新创业孵化示范基地，省“双创”示范基地等荣誉</w:t>
      </w:r>
      <w:r>
        <w:rPr>
          <w:spacing w:val="-18"/>
        </w:rPr>
        <w:t>称号。</w:t>
      </w:r>
      <w:r>
        <w:rPr/>
        <w:t>2010</w:t>
      </w:r>
      <w:r>
        <w:rPr>
          <w:spacing w:val="-32"/>
        </w:rPr>
        <w:t> 年、</w:t>
      </w:r>
      <w:r>
        <w:rPr/>
        <w:t>2012</w:t>
      </w:r>
      <w:r>
        <w:rPr>
          <w:spacing w:val="-32"/>
        </w:rPr>
        <w:t> 年、</w:t>
      </w:r>
      <w:r>
        <w:rPr/>
        <w:t>2014</w:t>
      </w:r>
      <w:r>
        <w:rPr>
          <w:spacing w:val="-32"/>
        </w:rPr>
        <w:t> 年、</w:t>
      </w:r>
      <w:r>
        <w:rPr/>
        <w:t>2016</w:t>
      </w:r>
      <w:r>
        <w:rPr>
          <w:spacing w:val="-11"/>
        </w:rPr>
        <w:t> 年连续四次获评湖南省就业工作“一把手工程” </w:t>
      </w:r>
      <w:r>
        <w:rPr>
          <w:spacing w:val="-3"/>
        </w:rPr>
        <w:t>优秀单位并荣膺湖南省优秀就业创业示范校。</w:t>
      </w:r>
      <w:r>
        <w:rPr/>
        <w:t>60</w:t>
      </w:r>
      <w:r>
        <w:rPr>
          <w:spacing w:val="-12"/>
        </w:rPr>
        <w:t> 年来，学院培养了一大批化工及相关专业技术人才，8</w:t>
      </w:r>
      <w:r>
        <w:rPr>
          <w:spacing w:val="-8"/>
        </w:rPr>
        <w:t> 万余名莘莘学子共同谱写着母校的光辉历史，为化工行业和地方经济建设做出了突出的贡献。</w:t>
      </w:r>
    </w:p>
    <w:p>
      <w:pPr>
        <w:pStyle w:val="BodyText"/>
        <w:ind w:left="2008"/>
        <w:rPr>
          <w:sz w:val="20"/>
        </w:rPr>
      </w:pPr>
      <w:r>
        <w:rPr>
          <w:sz w:val="20"/>
        </w:rPr>
        <w:drawing>
          <wp:inline distT="0" distB="0" distL="0" distR="0">
            <wp:extent cx="4983480" cy="1562100"/>
            <wp:effectExtent l="0" t="0" r="0" b="0"/>
            <wp:docPr id="9" name="image9.jpeg"/>
            <wp:cNvGraphicFramePr>
              <a:graphicFrameLocks noChangeAspect="1"/>
            </wp:cNvGraphicFramePr>
            <a:graphic>
              <a:graphicData uri="http://schemas.openxmlformats.org/drawingml/2006/picture">
                <pic:pic>
                  <pic:nvPicPr>
                    <pic:cNvPr id="10" name="image9.jpeg"/>
                    <pic:cNvPicPr/>
                  </pic:nvPicPr>
                  <pic:blipFill>
                    <a:blip r:embed="rId18" cstate="print"/>
                    <a:stretch>
                      <a:fillRect/>
                    </a:stretch>
                  </pic:blipFill>
                  <pic:spPr>
                    <a:xfrm>
                      <a:off x="0" y="0"/>
                      <a:ext cx="4983480" cy="1562100"/>
                    </a:xfrm>
                    <a:prstGeom prst="rect">
                      <a:avLst/>
                    </a:prstGeom>
                  </pic:spPr>
                </pic:pic>
              </a:graphicData>
            </a:graphic>
          </wp:inline>
        </w:drawing>
      </w:r>
      <w:r>
        <w:rPr>
          <w:sz w:val="20"/>
        </w:rPr>
      </w:r>
    </w:p>
    <w:p>
      <w:pPr>
        <w:tabs>
          <w:tab w:pos="5279" w:val="left" w:leader="none"/>
        </w:tabs>
        <w:spacing w:line="278" w:lineRule="auto" w:before="38"/>
        <w:ind w:left="1418" w:right="4516" w:firstLine="3069"/>
        <w:jc w:val="left"/>
        <w:rPr>
          <w:b/>
          <w:sz w:val="21"/>
        </w:rPr>
      </w:pPr>
      <w:r>
        <w:rPr>
          <w:b/>
          <w:sz w:val="21"/>
        </w:rPr>
        <w:t>图</w:t>
      </w:r>
      <w:r>
        <w:rPr>
          <w:b/>
          <w:spacing w:val="-52"/>
          <w:sz w:val="21"/>
        </w:rPr>
        <w:t> </w:t>
      </w:r>
      <w:r>
        <w:rPr>
          <w:b/>
          <w:sz w:val="21"/>
        </w:rPr>
        <w:t>1-1</w:t>
        <w:tab/>
        <w:t>学院学生规模变化情</w:t>
      </w:r>
      <w:r>
        <w:rPr>
          <w:b/>
          <w:spacing w:val="-14"/>
          <w:sz w:val="21"/>
        </w:rPr>
        <w:t>况</w:t>
      </w:r>
      <w:r>
        <w:rPr>
          <w:b/>
          <w:sz w:val="21"/>
        </w:rPr>
        <w:t>注：近五年数据均为学校高职学生规模情况。</w:t>
      </w:r>
    </w:p>
    <w:p>
      <w:pPr>
        <w:spacing w:line="269" w:lineRule="exact" w:before="0"/>
        <w:ind w:left="3098" w:right="0" w:firstLine="0"/>
        <w:jc w:val="left"/>
        <w:rPr>
          <w:b/>
          <w:sz w:val="21"/>
        </w:rPr>
      </w:pPr>
      <w:r>
        <w:rPr>
          <w:b/>
          <w:sz w:val="21"/>
        </w:rPr>
        <w:t>数据来源：湖南化工职业技术学院校志、全国高职院校状态数据采集与管理系统</w:t>
      </w:r>
    </w:p>
    <w:p>
      <w:pPr>
        <w:spacing w:after="0" w:line="269" w:lineRule="exact"/>
        <w:jc w:val="left"/>
        <w:rPr>
          <w:sz w:val="21"/>
        </w:rPr>
        <w:sectPr>
          <w:headerReference w:type="default" r:id="rId16"/>
          <w:footerReference w:type="default" r:id="rId17"/>
          <w:pgSz w:w="11910" w:h="16840"/>
          <w:pgMar w:header="780" w:footer="1241" w:top="1260" w:bottom="1440" w:left="0" w:right="0"/>
          <w:pgNumType w:start="1"/>
        </w:sectPr>
      </w:pPr>
    </w:p>
    <w:p>
      <w:pPr>
        <w:pStyle w:val="Heading2"/>
        <w:numPr>
          <w:ilvl w:val="1"/>
          <w:numId w:val="2"/>
        </w:numPr>
        <w:tabs>
          <w:tab w:pos="2471" w:val="left" w:leader="none"/>
          <w:tab w:pos="2472" w:val="left" w:leader="none"/>
        </w:tabs>
        <w:spacing w:line="240" w:lineRule="auto" w:before="141" w:after="0"/>
        <w:ind w:left="2472" w:right="0" w:hanging="574"/>
        <w:jc w:val="left"/>
        <w:rPr>
          <w:rFonts w:ascii="Arial" w:eastAsia="Arial"/>
        </w:rPr>
      </w:pPr>
      <w:bookmarkStart w:name="1.2  基本情况" w:id="7"/>
      <w:bookmarkEnd w:id="7"/>
      <w:r>
        <w:rPr>
          <w:b w:val="0"/>
        </w:rPr>
      </w:r>
      <w:bookmarkStart w:name="_bookmark2" w:id="8"/>
      <w:bookmarkEnd w:id="8"/>
      <w:r>
        <w:rPr>
          <w:b w:val="0"/>
        </w:rPr>
      </w:r>
      <w:bookmarkStart w:name="_bookmark2" w:id="9"/>
      <w:bookmarkEnd w:id="9"/>
      <w:r>
        <w:rPr/>
        <w:t>基本情况</w:t>
      </w:r>
    </w:p>
    <w:p>
      <w:pPr>
        <w:pStyle w:val="BodyText"/>
        <w:spacing w:before="6"/>
        <w:rPr>
          <w:rFonts w:ascii="黑体"/>
          <w:b/>
        </w:rPr>
      </w:pPr>
    </w:p>
    <w:p>
      <w:pPr>
        <w:pStyle w:val="Heading2"/>
        <w:numPr>
          <w:ilvl w:val="2"/>
          <w:numId w:val="2"/>
        </w:numPr>
        <w:tabs>
          <w:tab w:pos="2743" w:val="left" w:leader="none"/>
          <w:tab w:pos="2744" w:val="left" w:leader="none"/>
        </w:tabs>
        <w:spacing w:line="240" w:lineRule="auto" w:before="0" w:after="0"/>
        <w:ind w:left="2743" w:right="0" w:hanging="846"/>
        <w:jc w:val="left"/>
      </w:pPr>
      <w:bookmarkStart w:name="1.2.1  办学基本条件" w:id="10"/>
      <w:bookmarkEnd w:id="10"/>
      <w:r>
        <w:rPr>
          <w:b w:val="0"/>
        </w:rPr>
      </w:r>
      <w:bookmarkStart w:name="_bookmark3" w:id="11"/>
      <w:bookmarkEnd w:id="11"/>
      <w:r>
        <w:rPr>
          <w:b w:val="0"/>
        </w:rPr>
      </w:r>
      <w:bookmarkStart w:name="_bookmark3" w:id="12"/>
      <w:bookmarkEnd w:id="12"/>
      <w:r>
        <w:rPr/>
        <w:t>办学基本条件</w:t>
      </w:r>
    </w:p>
    <w:p>
      <w:pPr>
        <w:pStyle w:val="BodyText"/>
        <w:spacing w:before="7"/>
        <w:rPr>
          <w:rFonts w:ascii="黑体"/>
          <w:b/>
          <w:sz w:val="18"/>
        </w:rPr>
      </w:pPr>
    </w:p>
    <w:p>
      <w:pPr>
        <w:pStyle w:val="BodyText"/>
        <w:ind w:left="522" w:right="42"/>
        <w:jc w:val="center"/>
      </w:pPr>
      <w:r>
        <w:rPr/>
        <w:t>学院占地面积 67.92 万 m</w:t>
      </w:r>
      <w:r>
        <w:rPr>
          <w:position w:val="12"/>
          <w:sz w:val="12"/>
        </w:rPr>
        <w:t>2</w:t>
      </w:r>
      <w:r>
        <w:rPr/>
        <w:t>，拥有校内实验实训室 130 个，生产性实训车间(中心)5</w:t>
      </w:r>
    </w:p>
    <w:p>
      <w:pPr>
        <w:pStyle w:val="BodyText"/>
        <w:spacing w:before="160"/>
        <w:ind w:left="1418"/>
        <w:jc w:val="both"/>
      </w:pPr>
      <w:r>
        <w:rPr/>
        <w:t>个，多媒体教室 134 间，教学用计算机 2580 台，馆藏图书 70.24 万册，电子图书 24TB。</w:t>
      </w:r>
    </w:p>
    <w:p>
      <w:pPr>
        <w:pStyle w:val="BodyText"/>
        <w:spacing w:before="161"/>
        <w:ind w:left="1418"/>
        <w:jc w:val="both"/>
      </w:pPr>
      <w:r>
        <w:rPr/>
        <w:t>其中学院 2018 年行政用房使用情况如图 1-2 所示。</w:t>
      </w:r>
    </w:p>
    <w:p>
      <w:pPr>
        <w:pStyle w:val="BodyText"/>
        <w:spacing w:before="3"/>
        <w:rPr>
          <w:sz w:val="9"/>
        </w:rPr>
      </w:pPr>
      <w:r>
        <w:rPr/>
        <w:drawing>
          <wp:anchor distT="0" distB="0" distL="0" distR="0" allowOverlap="1" layoutInCell="1" locked="0" behindDoc="0" simplePos="0" relativeHeight="4">
            <wp:simplePos x="0" y="0"/>
            <wp:positionH relativeFrom="page">
              <wp:posOffset>2011679</wp:posOffset>
            </wp:positionH>
            <wp:positionV relativeFrom="paragraph">
              <wp:posOffset>99933</wp:posOffset>
            </wp:positionV>
            <wp:extent cx="3335383" cy="2100738"/>
            <wp:effectExtent l="0" t="0" r="0" b="0"/>
            <wp:wrapTopAndBottom/>
            <wp:docPr id="11" name="image10.jpeg"/>
            <wp:cNvGraphicFramePr>
              <a:graphicFrameLocks noChangeAspect="1"/>
            </wp:cNvGraphicFramePr>
            <a:graphic>
              <a:graphicData uri="http://schemas.openxmlformats.org/drawingml/2006/picture">
                <pic:pic>
                  <pic:nvPicPr>
                    <pic:cNvPr id="12" name="image10.jpeg"/>
                    <pic:cNvPicPr/>
                  </pic:nvPicPr>
                  <pic:blipFill>
                    <a:blip r:embed="rId19" cstate="print"/>
                    <a:stretch>
                      <a:fillRect/>
                    </a:stretch>
                  </pic:blipFill>
                  <pic:spPr>
                    <a:xfrm>
                      <a:off x="0" y="0"/>
                      <a:ext cx="3335383" cy="2100738"/>
                    </a:xfrm>
                    <a:prstGeom prst="rect">
                      <a:avLst/>
                    </a:prstGeom>
                  </pic:spPr>
                </pic:pic>
              </a:graphicData>
            </a:graphic>
          </wp:anchor>
        </w:drawing>
      </w:r>
    </w:p>
    <w:p>
      <w:pPr>
        <w:tabs>
          <w:tab w:pos="806" w:val="left" w:leader="none"/>
        </w:tabs>
        <w:spacing w:before="101"/>
        <w:ind w:left="14" w:right="0" w:firstLine="0"/>
        <w:jc w:val="center"/>
        <w:rPr>
          <w:b/>
          <w:sz w:val="21"/>
        </w:rPr>
      </w:pPr>
      <w:r>
        <w:rPr>
          <w:b/>
          <w:sz w:val="21"/>
        </w:rPr>
        <w:t>图</w:t>
      </w:r>
      <w:r>
        <w:rPr>
          <w:b/>
          <w:spacing w:val="-53"/>
          <w:sz w:val="21"/>
        </w:rPr>
        <w:t> </w:t>
      </w:r>
      <w:r>
        <w:rPr>
          <w:b/>
          <w:sz w:val="21"/>
        </w:rPr>
        <w:t>1-2</w:t>
        <w:tab/>
        <w:t>学院</w:t>
      </w:r>
      <w:r>
        <w:rPr>
          <w:b/>
          <w:spacing w:val="-54"/>
          <w:sz w:val="21"/>
        </w:rPr>
        <w:t> </w:t>
      </w:r>
      <w:r>
        <w:rPr>
          <w:b/>
          <w:sz w:val="21"/>
        </w:rPr>
        <w:t>2018</w:t>
      </w:r>
      <w:r>
        <w:rPr>
          <w:b/>
          <w:spacing w:val="-52"/>
          <w:sz w:val="21"/>
        </w:rPr>
        <w:t> </w:t>
      </w:r>
      <w:r>
        <w:rPr>
          <w:b/>
          <w:sz w:val="21"/>
        </w:rPr>
        <w:t>年教学行政用房情况示意图</w:t>
      </w:r>
    </w:p>
    <w:p>
      <w:pPr>
        <w:spacing w:before="3"/>
        <w:ind w:left="0" w:right="1399" w:firstLine="0"/>
        <w:jc w:val="right"/>
        <w:rPr>
          <w:b/>
          <w:sz w:val="21"/>
        </w:rPr>
      </w:pPr>
      <w:r>
        <w:rPr>
          <w:b/>
          <w:w w:val="95"/>
          <w:sz w:val="21"/>
        </w:rPr>
        <w:t>数据来源：全国高职院校状态数据采集与管理系统</w:t>
      </w:r>
    </w:p>
    <w:p>
      <w:pPr>
        <w:pStyle w:val="BodyText"/>
        <w:spacing w:before="3"/>
        <w:ind w:right="1417"/>
        <w:jc w:val="right"/>
      </w:pPr>
      <w:r>
        <w:rPr/>
        <w:t>2018</w:t>
      </w:r>
      <w:r>
        <w:rPr>
          <w:spacing w:val="-16"/>
        </w:rPr>
        <w:t> 年，持续加大实训条件建设力度，新增 </w:t>
      </w:r>
      <w:r>
        <w:rPr/>
        <w:t>1709.51</w:t>
      </w:r>
      <w:r>
        <w:rPr>
          <w:spacing w:val="-10"/>
        </w:rPr>
        <w:t> 万元教学仪器设备，实习实训</w:t>
      </w:r>
    </w:p>
    <w:p>
      <w:pPr>
        <w:pStyle w:val="BodyText"/>
        <w:spacing w:before="160"/>
        <w:ind w:right="1417"/>
        <w:jc w:val="right"/>
      </w:pPr>
      <w:r>
        <w:rPr>
          <w:spacing w:val="-8"/>
        </w:rPr>
        <w:t>仪器设备总值达 </w:t>
      </w:r>
      <w:r>
        <w:rPr/>
        <w:t>9032.87</w:t>
      </w:r>
      <w:r>
        <w:rPr>
          <w:spacing w:val="-11"/>
        </w:rPr>
        <w:t> 万元，在学生规模较快增长的背景下，生均仪器设备值实现正</w:t>
      </w:r>
    </w:p>
    <w:p>
      <w:pPr>
        <w:pStyle w:val="BodyText"/>
        <w:spacing w:before="161"/>
        <w:ind w:left="1418"/>
        <w:jc w:val="both"/>
      </w:pPr>
      <w:r>
        <w:rPr/>
        <w:t>增长并较大程度优于全省院校水平，达 8414.41 元，实验实习场所总面积 95718 平方米，</w:t>
      </w:r>
    </w:p>
    <w:p>
      <w:pPr>
        <w:pStyle w:val="BodyText"/>
        <w:spacing w:line="364" w:lineRule="auto" w:before="158"/>
        <w:ind w:left="1418" w:right="1416"/>
        <w:jc w:val="both"/>
      </w:pPr>
      <w:r>
        <w:rPr>
          <w:spacing w:val="-6"/>
        </w:rPr>
        <w:t>新增校内实训工位 </w:t>
      </w:r>
      <w:r>
        <w:rPr/>
        <w:t>600</w:t>
      </w:r>
      <w:r>
        <w:rPr>
          <w:spacing w:val="-15"/>
        </w:rPr>
        <w:t> 多个，总数达 </w:t>
      </w:r>
      <w:r>
        <w:rPr/>
        <w:t>6934</w:t>
      </w:r>
      <w:r>
        <w:rPr>
          <w:spacing w:val="-12"/>
        </w:rPr>
        <w:t> 个。校内实验实训室 </w:t>
      </w:r>
      <w:r>
        <w:rPr/>
        <w:t>130</w:t>
      </w:r>
      <w:r>
        <w:rPr>
          <w:spacing w:val="-8"/>
        </w:rPr>
        <w:t> 个，生产性实训车间(中心)5</w:t>
      </w:r>
      <w:r>
        <w:rPr>
          <w:spacing w:val="-11"/>
        </w:rPr>
        <w:t> 个，遴选建设了校外实习实训基地 </w:t>
      </w:r>
      <w:r>
        <w:rPr/>
        <w:t>122</w:t>
      </w:r>
      <w:r>
        <w:rPr>
          <w:spacing w:val="-9"/>
        </w:rPr>
        <w:t> 个。学院实习实训条件能充分满足实</w:t>
      </w:r>
      <w:r>
        <w:rPr/>
        <w:t>践教学需要并处于全省高职院校实训条件优秀水平。</w:t>
      </w:r>
    </w:p>
    <w:p>
      <w:pPr>
        <w:pStyle w:val="BodyText"/>
        <w:ind w:left="2097"/>
        <w:rPr>
          <w:sz w:val="20"/>
        </w:rPr>
      </w:pPr>
      <w:r>
        <w:rPr>
          <w:sz w:val="20"/>
        </w:rPr>
        <w:drawing>
          <wp:inline distT="0" distB="0" distL="0" distR="0">
            <wp:extent cx="4902892" cy="2393442"/>
            <wp:effectExtent l="0" t="0" r="0" b="0"/>
            <wp:docPr id="13" name="image11.jpeg"/>
            <wp:cNvGraphicFramePr>
              <a:graphicFrameLocks noChangeAspect="1"/>
            </wp:cNvGraphicFramePr>
            <a:graphic>
              <a:graphicData uri="http://schemas.openxmlformats.org/drawingml/2006/picture">
                <pic:pic>
                  <pic:nvPicPr>
                    <pic:cNvPr id="14" name="image11.jpeg"/>
                    <pic:cNvPicPr/>
                  </pic:nvPicPr>
                  <pic:blipFill>
                    <a:blip r:embed="rId20" cstate="print"/>
                    <a:stretch>
                      <a:fillRect/>
                    </a:stretch>
                  </pic:blipFill>
                  <pic:spPr>
                    <a:xfrm>
                      <a:off x="0" y="0"/>
                      <a:ext cx="4902892" cy="2393442"/>
                    </a:xfrm>
                    <a:prstGeom prst="rect">
                      <a:avLst/>
                    </a:prstGeom>
                  </pic:spPr>
                </pic:pic>
              </a:graphicData>
            </a:graphic>
          </wp:inline>
        </w:drawing>
      </w:r>
      <w:r>
        <w:rPr>
          <w:sz w:val="20"/>
        </w:rPr>
      </w:r>
    </w:p>
    <w:p>
      <w:pPr>
        <w:tabs>
          <w:tab w:pos="791" w:val="left" w:leader="none"/>
        </w:tabs>
        <w:spacing w:before="167"/>
        <w:ind w:left="0" w:right="23" w:firstLine="0"/>
        <w:jc w:val="center"/>
        <w:rPr>
          <w:b/>
          <w:sz w:val="21"/>
        </w:rPr>
      </w:pPr>
      <w:r>
        <w:rPr>
          <w:b/>
          <w:sz w:val="21"/>
        </w:rPr>
        <w:t>图</w:t>
      </w:r>
      <w:r>
        <w:rPr>
          <w:b/>
          <w:spacing w:val="-52"/>
          <w:sz w:val="21"/>
        </w:rPr>
        <w:t> </w:t>
      </w:r>
      <w:r>
        <w:rPr>
          <w:b/>
          <w:sz w:val="21"/>
        </w:rPr>
        <w:t>1-3</w:t>
        <w:tab/>
        <w:t>学院近五年实验实训场所面积情况示意图</w:t>
      </w:r>
    </w:p>
    <w:p>
      <w:pPr>
        <w:spacing w:before="43"/>
        <w:ind w:left="4390" w:right="1" w:firstLine="0"/>
        <w:jc w:val="center"/>
        <w:rPr>
          <w:b/>
          <w:sz w:val="21"/>
        </w:rPr>
      </w:pPr>
      <w:r>
        <w:rPr>
          <w:b/>
          <w:sz w:val="21"/>
        </w:rPr>
        <w:t>数据来源：全国高职院校状态数据采集与管理系统</w:t>
      </w:r>
    </w:p>
    <w:p>
      <w:pPr>
        <w:spacing w:after="0"/>
        <w:jc w:val="center"/>
        <w:rPr>
          <w:sz w:val="21"/>
        </w:rPr>
        <w:sectPr>
          <w:pgSz w:w="11910" w:h="16840"/>
          <w:pgMar w:header="780" w:footer="1241" w:top="1260" w:bottom="1440" w:left="0" w:right="0"/>
        </w:sectPr>
      </w:pPr>
    </w:p>
    <w:p>
      <w:pPr>
        <w:pStyle w:val="BodyText"/>
        <w:spacing w:before="4"/>
        <w:rPr>
          <w:b/>
          <w:sz w:val="16"/>
        </w:rPr>
      </w:pPr>
    </w:p>
    <w:p>
      <w:pPr>
        <w:pStyle w:val="BodyText"/>
        <w:ind w:left="2215"/>
        <w:rPr>
          <w:sz w:val="20"/>
        </w:rPr>
      </w:pPr>
      <w:r>
        <w:rPr>
          <w:sz w:val="20"/>
        </w:rPr>
        <w:drawing>
          <wp:inline distT="0" distB="0" distL="0" distR="0">
            <wp:extent cx="4718004" cy="2684906"/>
            <wp:effectExtent l="0" t="0" r="0" b="0"/>
            <wp:docPr id="15" name="image12.jpeg"/>
            <wp:cNvGraphicFramePr>
              <a:graphicFrameLocks noChangeAspect="1"/>
            </wp:cNvGraphicFramePr>
            <a:graphic>
              <a:graphicData uri="http://schemas.openxmlformats.org/drawingml/2006/picture">
                <pic:pic>
                  <pic:nvPicPr>
                    <pic:cNvPr id="16" name="image12.jpeg"/>
                    <pic:cNvPicPr/>
                  </pic:nvPicPr>
                  <pic:blipFill>
                    <a:blip r:embed="rId21" cstate="print"/>
                    <a:stretch>
                      <a:fillRect/>
                    </a:stretch>
                  </pic:blipFill>
                  <pic:spPr>
                    <a:xfrm>
                      <a:off x="0" y="0"/>
                      <a:ext cx="4718004" cy="2684906"/>
                    </a:xfrm>
                    <a:prstGeom prst="rect">
                      <a:avLst/>
                    </a:prstGeom>
                  </pic:spPr>
                </pic:pic>
              </a:graphicData>
            </a:graphic>
          </wp:inline>
        </w:drawing>
      </w:r>
      <w:r>
        <w:rPr>
          <w:sz w:val="20"/>
        </w:rPr>
      </w:r>
    </w:p>
    <w:p>
      <w:pPr>
        <w:tabs>
          <w:tab w:pos="791" w:val="left" w:leader="none"/>
        </w:tabs>
        <w:spacing w:before="90"/>
        <w:ind w:left="0" w:right="19" w:firstLine="0"/>
        <w:jc w:val="center"/>
        <w:rPr>
          <w:b/>
          <w:sz w:val="21"/>
        </w:rPr>
      </w:pPr>
      <w:r>
        <w:rPr>
          <w:b/>
          <w:sz w:val="21"/>
        </w:rPr>
        <w:t>图</w:t>
      </w:r>
      <w:r>
        <w:rPr>
          <w:b/>
          <w:spacing w:val="-53"/>
          <w:sz w:val="21"/>
        </w:rPr>
        <w:t> </w:t>
      </w:r>
      <w:r>
        <w:rPr>
          <w:b/>
          <w:sz w:val="21"/>
        </w:rPr>
        <w:t>1-4</w:t>
        <w:tab/>
        <w:t>学院近五年生均教学仪器设备值增长情况示意图</w:t>
      </w:r>
    </w:p>
    <w:p>
      <w:pPr>
        <w:spacing w:before="43"/>
        <w:ind w:left="4390" w:right="1" w:firstLine="0"/>
        <w:jc w:val="center"/>
        <w:rPr>
          <w:b/>
          <w:sz w:val="21"/>
        </w:rPr>
      </w:pPr>
      <w:r>
        <w:rPr>
          <w:b/>
          <w:sz w:val="21"/>
        </w:rPr>
        <w:t>数据来源：全国高职院校状态数据采集与管理系统</w:t>
      </w:r>
    </w:p>
    <w:p>
      <w:pPr>
        <w:pStyle w:val="BodyText"/>
        <w:spacing w:before="2"/>
        <w:rPr>
          <w:b/>
          <w:sz w:val="29"/>
        </w:rPr>
      </w:pPr>
    </w:p>
    <w:p>
      <w:pPr>
        <w:pStyle w:val="Heading2"/>
        <w:numPr>
          <w:ilvl w:val="2"/>
          <w:numId w:val="2"/>
        </w:numPr>
        <w:tabs>
          <w:tab w:pos="2743" w:val="left" w:leader="none"/>
          <w:tab w:pos="2744" w:val="left" w:leader="none"/>
        </w:tabs>
        <w:spacing w:line="240" w:lineRule="auto" w:before="0" w:after="0"/>
        <w:ind w:left="2743" w:right="0" w:hanging="846"/>
        <w:jc w:val="left"/>
      </w:pPr>
      <w:bookmarkStart w:name="1.2.2  学生规模及分布" w:id="13"/>
      <w:bookmarkEnd w:id="13"/>
      <w:r>
        <w:rPr>
          <w:b w:val="0"/>
        </w:rPr>
      </w:r>
      <w:bookmarkStart w:name="_bookmark4" w:id="14"/>
      <w:bookmarkEnd w:id="14"/>
      <w:r>
        <w:rPr>
          <w:b w:val="0"/>
        </w:rPr>
      </w:r>
      <w:bookmarkStart w:name="_bookmark4" w:id="15"/>
      <w:bookmarkEnd w:id="15"/>
      <w:r>
        <w:rPr/>
        <w:t>学生规模及分布</w:t>
      </w:r>
    </w:p>
    <w:p>
      <w:pPr>
        <w:pStyle w:val="BodyText"/>
        <w:spacing w:before="9"/>
        <w:rPr>
          <w:rFonts w:ascii="黑体"/>
          <w:b/>
        </w:rPr>
      </w:pPr>
    </w:p>
    <w:p>
      <w:pPr>
        <w:pStyle w:val="BodyText"/>
        <w:spacing w:line="364" w:lineRule="auto"/>
        <w:ind w:left="1418" w:right="1334" w:firstLine="480"/>
      </w:pPr>
      <w:r>
        <w:rPr/>
        <w:drawing>
          <wp:anchor distT="0" distB="0" distL="0" distR="0" allowOverlap="1" layoutInCell="1" locked="0" behindDoc="1" simplePos="0" relativeHeight="244343808">
            <wp:simplePos x="0" y="0"/>
            <wp:positionH relativeFrom="page">
              <wp:posOffset>1466088</wp:posOffset>
            </wp:positionH>
            <wp:positionV relativeFrom="paragraph">
              <wp:posOffset>1732152</wp:posOffset>
            </wp:positionV>
            <wp:extent cx="4620385" cy="2581275"/>
            <wp:effectExtent l="0" t="0" r="0" b="0"/>
            <wp:wrapNone/>
            <wp:docPr id="17" name="image13.png"/>
            <wp:cNvGraphicFramePr>
              <a:graphicFrameLocks noChangeAspect="1"/>
            </wp:cNvGraphicFramePr>
            <a:graphic>
              <a:graphicData uri="http://schemas.openxmlformats.org/drawingml/2006/picture">
                <pic:pic>
                  <pic:nvPicPr>
                    <pic:cNvPr id="18" name="image13.png"/>
                    <pic:cNvPicPr/>
                  </pic:nvPicPr>
                  <pic:blipFill>
                    <a:blip r:embed="rId22" cstate="print"/>
                    <a:stretch>
                      <a:fillRect/>
                    </a:stretch>
                  </pic:blipFill>
                  <pic:spPr>
                    <a:xfrm>
                      <a:off x="0" y="0"/>
                      <a:ext cx="4620385" cy="2581275"/>
                    </a:xfrm>
                    <a:prstGeom prst="rect">
                      <a:avLst/>
                    </a:prstGeom>
                  </pic:spPr>
                </pic:pic>
              </a:graphicData>
            </a:graphic>
          </wp:anchor>
        </w:drawing>
      </w:r>
      <w:r>
        <w:rPr>
          <w:spacing w:val="-4"/>
        </w:rPr>
        <w:t>学院以湖南省卓越高院校项目建设和特色专业体系构建为引领，持续加大专业调整</w:t>
      </w:r>
      <w:r>
        <w:rPr>
          <w:spacing w:val="-6"/>
        </w:rPr>
        <w:t>力度，根据学院状态数据平台显示：截止 </w:t>
      </w:r>
      <w:r>
        <w:rPr/>
        <w:t>2018</w:t>
      </w:r>
      <w:r>
        <w:rPr>
          <w:spacing w:val="-34"/>
        </w:rPr>
        <w:t> 年 </w:t>
      </w:r>
      <w:r>
        <w:rPr/>
        <w:t>8</w:t>
      </w:r>
      <w:r>
        <w:rPr>
          <w:spacing w:val="-11"/>
        </w:rPr>
        <w:t> 月，学院高职在校生规模达 </w:t>
      </w:r>
      <w:r>
        <w:rPr/>
        <w:t>10735 </w:t>
      </w:r>
      <w:r>
        <w:rPr>
          <w:spacing w:val="-9"/>
        </w:rPr>
        <w:t>人。群内专业在校生 </w:t>
      </w:r>
      <w:r>
        <w:rPr/>
        <w:t>10269</w:t>
      </w:r>
      <w:r>
        <w:rPr>
          <w:spacing w:val="-13"/>
        </w:rPr>
        <w:t> 人，占全院高职在校生总人数 </w:t>
      </w:r>
      <w:r>
        <w:rPr/>
        <w:t>95.66%</w:t>
      </w:r>
      <w:r>
        <w:rPr>
          <w:spacing w:val="-21"/>
        </w:rPr>
        <w:t>，较 </w:t>
      </w:r>
      <w:r>
        <w:rPr/>
        <w:t>2016</w:t>
      </w:r>
      <w:r>
        <w:rPr>
          <w:spacing w:val="-5"/>
        </w:rPr>
        <w:t>、</w:t>
      </w:r>
      <w:r>
        <w:rPr/>
        <w:t>2017</w:t>
      </w:r>
      <w:r>
        <w:rPr>
          <w:spacing w:val="-21"/>
        </w:rPr>
        <w:t> 年分</w:t>
      </w:r>
      <w:r>
        <w:rPr>
          <w:spacing w:val="-31"/>
        </w:rPr>
        <w:t>别提高 </w:t>
      </w:r>
      <w:r>
        <w:rPr/>
        <w:t>13</w:t>
      </w:r>
      <w:r>
        <w:rPr>
          <w:spacing w:val="-40"/>
        </w:rPr>
        <w:t> 和 </w:t>
      </w:r>
      <w:r>
        <w:rPr/>
        <w:t>2</w:t>
      </w:r>
      <w:r>
        <w:rPr>
          <w:spacing w:val="-14"/>
        </w:rPr>
        <w:t> 个百分点。在学生规模快速增长的情况下，群内专业学生规模大幅提升， </w:t>
      </w:r>
      <w:r>
        <w:rPr>
          <w:spacing w:val="-5"/>
        </w:rPr>
        <w:t>重点建设专业群在校生规模较 </w:t>
      </w:r>
      <w:r>
        <w:rPr/>
        <w:t>2017</w:t>
      </w:r>
      <w:r>
        <w:rPr>
          <w:spacing w:val="-40"/>
        </w:rPr>
        <w:t> 年 </w:t>
      </w:r>
      <w:r>
        <w:rPr/>
        <w:t>64.33%</w:t>
      </w:r>
      <w:r>
        <w:rPr>
          <w:spacing w:val="-15"/>
        </w:rPr>
        <w:t>增加到 </w:t>
      </w:r>
      <w:r>
        <w:rPr/>
        <w:t>65.87</w:t>
      </w:r>
      <w:r>
        <w:rPr>
          <w:spacing w:val="-18"/>
        </w:rPr>
        <w:t>%，专业群整合效果明显。(见</w:t>
      </w:r>
      <w:r>
        <w:rPr>
          <w:spacing w:val="-39"/>
        </w:rPr>
        <w:t>图 </w:t>
      </w:r>
      <w:r>
        <w:rPr/>
        <w:t>1-5)。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tabs>
          <w:tab w:pos="789" w:val="left" w:leader="none"/>
        </w:tabs>
        <w:spacing w:before="181"/>
        <w:ind w:left="0" w:right="26" w:firstLine="0"/>
        <w:jc w:val="center"/>
        <w:rPr>
          <w:b/>
          <w:sz w:val="21"/>
        </w:rPr>
      </w:pPr>
      <w:r>
        <w:rPr>
          <w:b/>
          <w:sz w:val="21"/>
        </w:rPr>
        <w:t>图</w:t>
      </w:r>
      <w:r>
        <w:rPr>
          <w:b/>
          <w:spacing w:val="-55"/>
          <w:sz w:val="21"/>
        </w:rPr>
        <w:t> </w:t>
      </w:r>
      <w:r>
        <w:rPr>
          <w:b/>
          <w:sz w:val="21"/>
        </w:rPr>
        <w:t>1-5</w:t>
        <w:tab/>
        <w:t>学院各专业群学生所占比例</w:t>
      </w:r>
    </w:p>
    <w:p>
      <w:pPr>
        <w:spacing w:after="0"/>
        <w:jc w:val="center"/>
        <w:rPr>
          <w:sz w:val="21"/>
        </w:rPr>
        <w:sectPr>
          <w:pgSz w:w="11910" w:h="16840"/>
          <w:pgMar w:header="780" w:footer="1241" w:top="1260" w:bottom="1440" w:left="0" w:right="0"/>
        </w:sectPr>
      </w:pPr>
    </w:p>
    <w:p>
      <w:pPr>
        <w:pStyle w:val="Heading2"/>
        <w:numPr>
          <w:ilvl w:val="2"/>
          <w:numId w:val="2"/>
        </w:numPr>
        <w:tabs>
          <w:tab w:pos="2743" w:val="left" w:leader="none"/>
          <w:tab w:pos="2744" w:val="left" w:leader="none"/>
        </w:tabs>
        <w:spacing w:line="240" w:lineRule="auto" w:before="141" w:after="0"/>
        <w:ind w:left="2743" w:right="0" w:hanging="846"/>
        <w:jc w:val="left"/>
      </w:pPr>
      <w:bookmarkStart w:name="1.2.3  2018年招生情况" w:id="16"/>
      <w:bookmarkEnd w:id="16"/>
      <w:r>
        <w:rPr>
          <w:b w:val="0"/>
        </w:rPr>
      </w:r>
      <w:bookmarkStart w:name="_bookmark5" w:id="17"/>
      <w:bookmarkEnd w:id="17"/>
      <w:r>
        <w:rPr>
          <w:b w:val="0"/>
        </w:rPr>
      </w:r>
      <w:bookmarkStart w:name="_bookmark5" w:id="18"/>
      <w:bookmarkEnd w:id="18"/>
      <w:r>
        <w:rPr/>
        <w:t>2</w:t>
      </w:r>
      <w:r>
        <w:rPr/>
        <w:t>018</w:t>
      </w:r>
      <w:r>
        <w:rPr>
          <w:spacing w:val="-11"/>
        </w:rPr>
        <w:t> 年招生情况</w:t>
      </w:r>
    </w:p>
    <w:p>
      <w:pPr>
        <w:pStyle w:val="BodyText"/>
        <w:spacing w:before="9"/>
        <w:rPr>
          <w:rFonts w:ascii="黑体"/>
          <w:b/>
        </w:rPr>
      </w:pPr>
    </w:p>
    <w:p>
      <w:pPr>
        <w:pStyle w:val="BodyText"/>
        <w:spacing w:line="364" w:lineRule="auto"/>
        <w:ind w:left="1418" w:right="1334" w:firstLine="480"/>
        <w:jc w:val="both"/>
      </w:pPr>
      <w:r>
        <w:rPr/>
        <w:t>2018</w:t>
      </w:r>
      <w:r>
        <w:rPr>
          <w:spacing w:val="-12"/>
        </w:rPr>
        <w:t> 年学院三年制高职招生总数为 </w:t>
      </w:r>
      <w:r>
        <w:rPr/>
        <w:t>4238</w:t>
      </w:r>
      <w:r>
        <w:rPr>
          <w:spacing w:val="-18"/>
        </w:rPr>
        <w:t> 人，招生专业 </w:t>
      </w:r>
      <w:r>
        <w:rPr/>
        <w:t>30</w:t>
      </w:r>
      <w:r>
        <w:rPr>
          <w:spacing w:val="-18"/>
        </w:rPr>
        <w:t> 个，招生省份 </w:t>
      </w:r>
      <w:r>
        <w:rPr/>
        <w:t>20</w:t>
      </w:r>
      <w:r>
        <w:rPr>
          <w:spacing w:val="-18"/>
        </w:rPr>
        <w:t> 个。实</w:t>
      </w:r>
      <w:r>
        <w:rPr>
          <w:spacing w:val="-22"/>
        </w:rPr>
        <w:t>际报到三年制高职人数为 </w:t>
      </w:r>
      <w:r>
        <w:rPr/>
        <w:t>3974</w:t>
      </w:r>
      <w:r>
        <w:rPr>
          <w:spacing w:val="-18"/>
        </w:rPr>
        <w:t> 人，报到率为 </w:t>
      </w:r>
      <w:r>
        <w:rPr/>
        <w:t>93.74%</w:t>
      </w:r>
      <w:r>
        <w:rPr>
          <w:spacing w:val="-4"/>
        </w:rPr>
        <w:t>。单独招生考试考生报名踊跃，报</w:t>
      </w:r>
      <w:r>
        <w:rPr>
          <w:spacing w:val="-16"/>
        </w:rPr>
        <w:t>考人数达 </w:t>
      </w:r>
      <w:r>
        <w:rPr/>
        <w:t>4372</w:t>
      </w:r>
      <w:r>
        <w:rPr>
          <w:spacing w:val="-18"/>
        </w:rPr>
        <w:t> 人，参加考试人数达 </w:t>
      </w:r>
      <w:r>
        <w:rPr/>
        <w:t>3567</w:t>
      </w:r>
      <w:r>
        <w:rPr>
          <w:spacing w:val="-14"/>
        </w:rPr>
        <w:t> 人，学院按单招考试成绩排名共录取 </w:t>
      </w:r>
      <w:r>
        <w:rPr/>
        <w:t>1600</w:t>
      </w:r>
      <w:r>
        <w:rPr>
          <w:spacing w:val="-26"/>
        </w:rPr>
        <w:t> 人。</w:t>
      </w:r>
    </w:p>
    <w:p>
      <w:pPr>
        <w:spacing w:before="19"/>
        <w:ind w:left="4567" w:right="0" w:firstLine="0"/>
        <w:jc w:val="both"/>
        <w:rPr>
          <w:b/>
          <w:sz w:val="21"/>
        </w:rPr>
      </w:pPr>
      <w:r>
        <w:rPr>
          <w:b/>
          <w:spacing w:val="-26"/>
          <w:sz w:val="21"/>
        </w:rPr>
        <w:t>表 </w:t>
      </w:r>
      <w:r>
        <w:rPr>
          <w:b/>
          <w:sz w:val="21"/>
        </w:rPr>
        <w:t>1-1</w:t>
      </w:r>
      <w:r>
        <w:rPr>
          <w:b/>
          <w:spacing w:val="104"/>
          <w:sz w:val="21"/>
        </w:rPr>
        <w:t> </w:t>
      </w:r>
      <w:r>
        <w:rPr>
          <w:b/>
          <w:sz w:val="21"/>
        </w:rPr>
        <w:t>2018</w:t>
      </w:r>
      <w:r>
        <w:rPr>
          <w:b/>
          <w:spacing w:val="-8"/>
          <w:sz w:val="21"/>
        </w:rPr>
        <w:t> 年新生报考情况</w:t>
      </w:r>
    </w:p>
    <w:p>
      <w:pPr>
        <w:pStyle w:val="BodyText"/>
        <w:spacing w:before="11"/>
        <w:rPr>
          <w:b/>
          <w:sz w:val="7"/>
        </w:rPr>
      </w:pPr>
    </w:p>
    <w:tbl>
      <w:tblPr>
        <w:tblW w:w="0" w:type="auto"/>
        <w:jc w:val="left"/>
        <w:tblInd w:w="17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48"/>
        <w:gridCol w:w="4133"/>
        <w:gridCol w:w="2841"/>
      </w:tblGrid>
      <w:tr>
        <w:trPr>
          <w:trHeight w:val="468" w:hRule="atLeast"/>
        </w:trPr>
        <w:tc>
          <w:tcPr>
            <w:tcW w:w="1548" w:type="dxa"/>
            <w:tcBorders>
              <w:bottom w:val="single" w:sz="4" w:space="0" w:color="000000"/>
              <w:right w:val="single" w:sz="4" w:space="0" w:color="000000"/>
            </w:tcBorders>
            <w:shd w:val="clear" w:color="auto" w:fill="FF6600"/>
          </w:tcPr>
          <w:p>
            <w:pPr>
              <w:pStyle w:val="TableParagraph"/>
              <w:spacing w:before="79"/>
              <w:ind w:left="511" w:right="495"/>
              <w:jc w:val="center"/>
              <w:rPr>
                <w:b/>
                <w:sz w:val="24"/>
              </w:rPr>
            </w:pPr>
            <w:r>
              <w:rPr>
                <w:b/>
                <w:sz w:val="24"/>
              </w:rPr>
              <w:t>序号</w:t>
            </w:r>
          </w:p>
        </w:tc>
        <w:tc>
          <w:tcPr>
            <w:tcW w:w="4133" w:type="dxa"/>
            <w:tcBorders>
              <w:left w:val="single" w:sz="4" w:space="0" w:color="000000"/>
              <w:bottom w:val="single" w:sz="4" w:space="0" w:color="000000"/>
              <w:right w:val="single" w:sz="4" w:space="0" w:color="000000"/>
            </w:tcBorders>
            <w:shd w:val="clear" w:color="auto" w:fill="FF6600"/>
          </w:tcPr>
          <w:p>
            <w:pPr>
              <w:pStyle w:val="TableParagraph"/>
              <w:spacing w:before="79"/>
              <w:ind w:left="735" w:right="707"/>
              <w:jc w:val="center"/>
              <w:rPr>
                <w:b/>
                <w:sz w:val="24"/>
              </w:rPr>
            </w:pPr>
            <w:r>
              <w:rPr>
                <w:b/>
                <w:sz w:val="24"/>
              </w:rPr>
              <w:t>项目</w:t>
            </w:r>
          </w:p>
        </w:tc>
        <w:tc>
          <w:tcPr>
            <w:tcW w:w="2841" w:type="dxa"/>
            <w:tcBorders>
              <w:left w:val="single" w:sz="4" w:space="0" w:color="000000"/>
              <w:bottom w:val="single" w:sz="4" w:space="0" w:color="000000"/>
            </w:tcBorders>
            <w:shd w:val="clear" w:color="auto" w:fill="FF6600"/>
          </w:tcPr>
          <w:p>
            <w:pPr>
              <w:pStyle w:val="TableParagraph"/>
              <w:spacing w:before="79"/>
              <w:ind w:right="1026"/>
              <w:jc w:val="right"/>
              <w:rPr>
                <w:b/>
                <w:sz w:val="24"/>
              </w:rPr>
            </w:pPr>
            <w:r>
              <w:rPr>
                <w:b/>
                <w:w w:val="95"/>
                <w:sz w:val="24"/>
              </w:rPr>
              <w:t>学生数</w:t>
            </w:r>
          </w:p>
        </w:tc>
      </w:tr>
      <w:tr>
        <w:trPr>
          <w:trHeight w:val="467" w:hRule="atLeast"/>
        </w:trPr>
        <w:tc>
          <w:tcPr>
            <w:tcW w:w="1548" w:type="dxa"/>
            <w:tcBorders>
              <w:top w:val="single" w:sz="4" w:space="0" w:color="000000"/>
              <w:bottom w:val="single" w:sz="4" w:space="0" w:color="000000"/>
              <w:right w:val="single" w:sz="4" w:space="0" w:color="000000"/>
            </w:tcBorders>
            <w:shd w:val="clear" w:color="auto" w:fill="CCFFFF"/>
          </w:tcPr>
          <w:p>
            <w:pPr>
              <w:pStyle w:val="TableParagraph"/>
              <w:spacing w:before="79"/>
              <w:ind w:left="16"/>
              <w:jc w:val="center"/>
              <w:rPr>
                <w:sz w:val="24"/>
              </w:rPr>
            </w:pPr>
            <w:r>
              <w:rPr>
                <w:sz w:val="24"/>
              </w:rPr>
              <w:t>1</w:t>
            </w:r>
          </w:p>
        </w:tc>
        <w:tc>
          <w:tcPr>
            <w:tcW w:w="4133" w:type="dxa"/>
            <w:tcBorders>
              <w:top w:val="single" w:sz="4" w:space="0" w:color="000000"/>
              <w:left w:val="single" w:sz="4" w:space="0" w:color="000000"/>
              <w:bottom w:val="single" w:sz="4" w:space="0" w:color="000000"/>
              <w:right w:val="single" w:sz="4" w:space="0" w:color="000000"/>
            </w:tcBorders>
            <w:shd w:val="clear" w:color="auto" w:fill="CCFFFF"/>
          </w:tcPr>
          <w:p>
            <w:pPr>
              <w:pStyle w:val="TableParagraph"/>
              <w:spacing w:before="79"/>
              <w:ind w:left="735" w:right="707"/>
              <w:jc w:val="center"/>
              <w:rPr>
                <w:sz w:val="24"/>
              </w:rPr>
            </w:pPr>
            <w:r>
              <w:rPr>
                <w:sz w:val="24"/>
              </w:rPr>
              <w:t>报考我院学生总数</w:t>
            </w:r>
          </w:p>
        </w:tc>
        <w:tc>
          <w:tcPr>
            <w:tcW w:w="2841" w:type="dxa"/>
            <w:tcBorders>
              <w:top w:val="single" w:sz="4" w:space="0" w:color="000000"/>
              <w:left w:val="single" w:sz="4" w:space="0" w:color="000000"/>
              <w:bottom w:val="single" w:sz="4" w:space="0" w:color="000000"/>
            </w:tcBorders>
            <w:shd w:val="clear" w:color="auto" w:fill="CCFFFF"/>
          </w:tcPr>
          <w:p>
            <w:pPr>
              <w:pStyle w:val="TableParagraph"/>
              <w:spacing w:before="79"/>
              <w:ind w:right="1090"/>
              <w:jc w:val="right"/>
              <w:rPr>
                <w:sz w:val="24"/>
              </w:rPr>
            </w:pPr>
            <w:r>
              <w:rPr>
                <w:sz w:val="24"/>
              </w:rPr>
              <w:t>17548</w:t>
            </w:r>
          </w:p>
        </w:tc>
      </w:tr>
      <w:tr>
        <w:trPr>
          <w:trHeight w:val="467" w:hRule="atLeast"/>
        </w:trPr>
        <w:tc>
          <w:tcPr>
            <w:tcW w:w="1548" w:type="dxa"/>
            <w:tcBorders>
              <w:top w:val="single" w:sz="4" w:space="0" w:color="000000"/>
              <w:bottom w:val="single" w:sz="4" w:space="0" w:color="000000"/>
              <w:right w:val="single" w:sz="4" w:space="0" w:color="000000"/>
            </w:tcBorders>
            <w:shd w:val="clear" w:color="auto" w:fill="CCFFFF"/>
          </w:tcPr>
          <w:p>
            <w:pPr>
              <w:pStyle w:val="TableParagraph"/>
              <w:spacing w:before="81"/>
              <w:ind w:left="16"/>
              <w:jc w:val="center"/>
              <w:rPr>
                <w:sz w:val="24"/>
              </w:rPr>
            </w:pPr>
            <w:r>
              <w:rPr>
                <w:sz w:val="24"/>
              </w:rPr>
              <w:t>2</w:t>
            </w:r>
          </w:p>
        </w:tc>
        <w:tc>
          <w:tcPr>
            <w:tcW w:w="4133" w:type="dxa"/>
            <w:tcBorders>
              <w:top w:val="single" w:sz="4" w:space="0" w:color="000000"/>
              <w:left w:val="single" w:sz="4" w:space="0" w:color="000000"/>
              <w:bottom w:val="single" w:sz="4" w:space="0" w:color="000000"/>
              <w:right w:val="single" w:sz="4" w:space="0" w:color="000000"/>
            </w:tcBorders>
            <w:shd w:val="clear" w:color="auto" w:fill="CCFFFF"/>
          </w:tcPr>
          <w:p>
            <w:pPr>
              <w:pStyle w:val="TableParagraph"/>
              <w:spacing w:before="81"/>
              <w:ind w:left="735" w:right="707"/>
              <w:jc w:val="center"/>
              <w:rPr>
                <w:sz w:val="24"/>
              </w:rPr>
            </w:pPr>
            <w:r>
              <w:rPr>
                <w:sz w:val="24"/>
              </w:rPr>
              <w:t>第一志愿报考我院学生数</w:t>
            </w:r>
          </w:p>
        </w:tc>
        <w:tc>
          <w:tcPr>
            <w:tcW w:w="2841" w:type="dxa"/>
            <w:tcBorders>
              <w:top w:val="single" w:sz="4" w:space="0" w:color="000000"/>
              <w:left w:val="single" w:sz="4" w:space="0" w:color="000000"/>
              <w:bottom w:val="single" w:sz="4" w:space="0" w:color="000000"/>
            </w:tcBorders>
            <w:shd w:val="clear" w:color="auto" w:fill="CCFFFF"/>
          </w:tcPr>
          <w:p>
            <w:pPr>
              <w:pStyle w:val="TableParagraph"/>
              <w:spacing w:before="81"/>
              <w:ind w:left="1047" w:right="1008"/>
              <w:jc w:val="center"/>
              <w:rPr>
                <w:sz w:val="24"/>
              </w:rPr>
            </w:pPr>
            <w:r>
              <w:rPr>
                <w:sz w:val="24"/>
              </w:rPr>
              <w:t>2387</w:t>
            </w:r>
          </w:p>
        </w:tc>
      </w:tr>
      <w:tr>
        <w:trPr>
          <w:trHeight w:val="468" w:hRule="atLeast"/>
        </w:trPr>
        <w:tc>
          <w:tcPr>
            <w:tcW w:w="1548" w:type="dxa"/>
            <w:tcBorders>
              <w:top w:val="single" w:sz="4" w:space="0" w:color="000000"/>
              <w:bottom w:val="single" w:sz="4" w:space="0" w:color="000000"/>
              <w:right w:val="single" w:sz="4" w:space="0" w:color="000000"/>
            </w:tcBorders>
            <w:shd w:val="clear" w:color="auto" w:fill="CCFFFF"/>
          </w:tcPr>
          <w:p>
            <w:pPr>
              <w:pStyle w:val="TableParagraph"/>
              <w:spacing w:before="80"/>
              <w:ind w:left="16"/>
              <w:jc w:val="center"/>
              <w:rPr>
                <w:sz w:val="24"/>
              </w:rPr>
            </w:pPr>
            <w:r>
              <w:rPr>
                <w:sz w:val="24"/>
              </w:rPr>
              <w:t>3</w:t>
            </w:r>
          </w:p>
        </w:tc>
        <w:tc>
          <w:tcPr>
            <w:tcW w:w="4133" w:type="dxa"/>
            <w:tcBorders>
              <w:top w:val="single" w:sz="4" w:space="0" w:color="000000"/>
              <w:left w:val="single" w:sz="4" w:space="0" w:color="000000"/>
              <w:bottom w:val="single" w:sz="4" w:space="0" w:color="000000"/>
              <w:right w:val="single" w:sz="4" w:space="0" w:color="000000"/>
            </w:tcBorders>
            <w:shd w:val="clear" w:color="auto" w:fill="CCFFFF"/>
          </w:tcPr>
          <w:p>
            <w:pPr>
              <w:pStyle w:val="TableParagraph"/>
              <w:spacing w:before="80"/>
              <w:ind w:left="735" w:right="707"/>
              <w:jc w:val="center"/>
              <w:rPr>
                <w:sz w:val="24"/>
              </w:rPr>
            </w:pPr>
            <w:r>
              <w:rPr>
                <w:sz w:val="24"/>
              </w:rPr>
              <w:t>第二志愿报考我院学生数</w:t>
            </w:r>
          </w:p>
        </w:tc>
        <w:tc>
          <w:tcPr>
            <w:tcW w:w="2841" w:type="dxa"/>
            <w:tcBorders>
              <w:top w:val="single" w:sz="4" w:space="0" w:color="000000"/>
              <w:left w:val="single" w:sz="4" w:space="0" w:color="000000"/>
              <w:bottom w:val="single" w:sz="4" w:space="0" w:color="000000"/>
            </w:tcBorders>
            <w:shd w:val="clear" w:color="auto" w:fill="CCFFFF"/>
          </w:tcPr>
          <w:p>
            <w:pPr>
              <w:pStyle w:val="TableParagraph"/>
              <w:spacing w:before="80"/>
              <w:ind w:left="1047" w:right="1008"/>
              <w:jc w:val="center"/>
              <w:rPr>
                <w:sz w:val="24"/>
              </w:rPr>
            </w:pPr>
            <w:r>
              <w:rPr>
                <w:sz w:val="24"/>
              </w:rPr>
              <w:t>2399</w:t>
            </w:r>
          </w:p>
        </w:tc>
      </w:tr>
      <w:tr>
        <w:trPr>
          <w:trHeight w:val="467" w:hRule="atLeast"/>
        </w:trPr>
        <w:tc>
          <w:tcPr>
            <w:tcW w:w="1548" w:type="dxa"/>
            <w:tcBorders>
              <w:top w:val="single" w:sz="4" w:space="0" w:color="000000"/>
              <w:right w:val="single" w:sz="4" w:space="0" w:color="000000"/>
            </w:tcBorders>
            <w:shd w:val="clear" w:color="auto" w:fill="CCFFFF"/>
          </w:tcPr>
          <w:p>
            <w:pPr>
              <w:pStyle w:val="TableParagraph"/>
              <w:spacing w:before="80"/>
              <w:ind w:left="16"/>
              <w:jc w:val="center"/>
              <w:rPr>
                <w:sz w:val="24"/>
              </w:rPr>
            </w:pPr>
            <w:r>
              <w:rPr>
                <w:sz w:val="24"/>
              </w:rPr>
              <w:t>4</w:t>
            </w:r>
          </w:p>
        </w:tc>
        <w:tc>
          <w:tcPr>
            <w:tcW w:w="4133" w:type="dxa"/>
            <w:tcBorders>
              <w:top w:val="single" w:sz="4" w:space="0" w:color="000000"/>
              <w:left w:val="single" w:sz="4" w:space="0" w:color="000000"/>
              <w:right w:val="single" w:sz="4" w:space="0" w:color="000000"/>
            </w:tcBorders>
            <w:shd w:val="clear" w:color="auto" w:fill="CCFFFF"/>
          </w:tcPr>
          <w:p>
            <w:pPr>
              <w:pStyle w:val="TableParagraph"/>
              <w:spacing w:before="80"/>
              <w:ind w:left="735" w:right="707"/>
              <w:jc w:val="center"/>
              <w:rPr>
                <w:sz w:val="24"/>
              </w:rPr>
            </w:pPr>
            <w:r>
              <w:rPr>
                <w:sz w:val="24"/>
              </w:rPr>
              <w:t>第三志愿报考我院学生数</w:t>
            </w:r>
          </w:p>
        </w:tc>
        <w:tc>
          <w:tcPr>
            <w:tcW w:w="2841" w:type="dxa"/>
            <w:tcBorders>
              <w:top w:val="single" w:sz="4" w:space="0" w:color="000000"/>
              <w:left w:val="single" w:sz="4" w:space="0" w:color="000000"/>
            </w:tcBorders>
            <w:shd w:val="clear" w:color="auto" w:fill="CCFFFF"/>
          </w:tcPr>
          <w:p>
            <w:pPr>
              <w:pStyle w:val="TableParagraph"/>
              <w:spacing w:before="80"/>
              <w:ind w:left="1047" w:right="1008"/>
              <w:jc w:val="center"/>
              <w:rPr>
                <w:sz w:val="24"/>
              </w:rPr>
            </w:pPr>
            <w:r>
              <w:rPr>
                <w:sz w:val="24"/>
              </w:rPr>
              <w:t>2318</w:t>
            </w:r>
          </w:p>
        </w:tc>
      </w:tr>
    </w:tbl>
    <w:p>
      <w:pPr>
        <w:spacing w:before="98"/>
        <w:ind w:left="7929" w:right="0" w:firstLine="0"/>
        <w:jc w:val="left"/>
        <w:rPr>
          <w:b/>
          <w:sz w:val="21"/>
        </w:rPr>
      </w:pPr>
      <w:r>
        <w:rPr>
          <w:b/>
          <w:sz w:val="21"/>
        </w:rPr>
        <w:t>数据来源：学院招生就业处</w:t>
      </w:r>
    </w:p>
    <w:p>
      <w:pPr>
        <w:pStyle w:val="BodyText"/>
        <w:spacing w:before="6"/>
        <w:rPr>
          <w:b/>
          <w:sz w:val="15"/>
        </w:rPr>
      </w:pPr>
    </w:p>
    <w:p>
      <w:pPr>
        <w:tabs>
          <w:tab w:pos="789" w:val="left" w:leader="none"/>
        </w:tabs>
        <w:spacing w:before="0"/>
        <w:ind w:left="0" w:right="23" w:firstLine="0"/>
        <w:jc w:val="center"/>
        <w:rPr>
          <w:b/>
          <w:sz w:val="21"/>
        </w:rPr>
      </w:pPr>
      <w:r>
        <w:rPr>
          <w:b/>
          <w:sz w:val="21"/>
        </w:rPr>
        <w:t>表</w:t>
      </w:r>
      <w:r>
        <w:rPr>
          <w:b/>
          <w:spacing w:val="-55"/>
          <w:sz w:val="21"/>
        </w:rPr>
        <w:t> </w:t>
      </w:r>
      <w:r>
        <w:rPr>
          <w:b/>
          <w:sz w:val="21"/>
        </w:rPr>
        <w:t>1-2</w:t>
        <w:tab/>
        <w:t>2018</w:t>
      </w:r>
      <w:r>
        <w:rPr>
          <w:b/>
          <w:spacing w:val="-52"/>
          <w:sz w:val="21"/>
        </w:rPr>
        <w:t> </w:t>
      </w:r>
      <w:r>
        <w:rPr>
          <w:b/>
          <w:sz w:val="21"/>
        </w:rPr>
        <w:t>年新生录取报到情况</w:t>
      </w:r>
    </w:p>
    <w:p>
      <w:pPr>
        <w:pStyle w:val="BodyText"/>
        <w:rPr>
          <w:b/>
          <w:sz w:val="8"/>
        </w:rPr>
      </w:pPr>
    </w:p>
    <w:tbl>
      <w:tblPr>
        <w:tblW w:w="0" w:type="auto"/>
        <w:jc w:val="left"/>
        <w:tblInd w:w="17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48"/>
        <w:gridCol w:w="4133"/>
        <w:gridCol w:w="2841"/>
      </w:tblGrid>
      <w:tr>
        <w:trPr>
          <w:trHeight w:val="468" w:hRule="atLeast"/>
        </w:trPr>
        <w:tc>
          <w:tcPr>
            <w:tcW w:w="1548" w:type="dxa"/>
            <w:tcBorders>
              <w:bottom w:val="single" w:sz="4" w:space="0" w:color="000000"/>
              <w:right w:val="single" w:sz="4" w:space="0" w:color="000000"/>
            </w:tcBorders>
            <w:shd w:val="clear" w:color="auto" w:fill="FF6600"/>
          </w:tcPr>
          <w:p>
            <w:pPr>
              <w:pStyle w:val="TableParagraph"/>
              <w:spacing w:before="80"/>
              <w:ind w:left="511" w:right="495"/>
              <w:jc w:val="center"/>
              <w:rPr>
                <w:b/>
                <w:sz w:val="24"/>
              </w:rPr>
            </w:pPr>
            <w:r>
              <w:rPr>
                <w:b/>
                <w:sz w:val="24"/>
              </w:rPr>
              <w:t>序号</w:t>
            </w:r>
          </w:p>
        </w:tc>
        <w:tc>
          <w:tcPr>
            <w:tcW w:w="4133" w:type="dxa"/>
            <w:tcBorders>
              <w:left w:val="single" w:sz="4" w:space="0" w:color="000000"/>
              <w:bottom w:val="single" w:sz="4" w:space="0" w:color="000000"/>
              <w:right w:val="single" w:sz="4" w:space="0" w:color="000000"/>
            </w:tcBorders>
            <w:shd w:val="clear" w:color="auto" w:fill="FF6600"/>
          </w:tcPr>
          <w:p>
            <w:pPr>
              <w:pStyle w:val="TableParagraph"/>
              <w:spacing w:before="80"/>
              <w:ind w:left="735" w:right="707"/>
              <w:jc w:val="center"/>
              <w:rPr>
                <w:b/>
                <w:sz w:val="24"/>
              </w:rPr>
            </w:pPr>
            <w:r>
              <w:rPr>
                <w:b/>
                <w:sz w:val="24"/>
              </w:rPr>
              <w:t>项目</w:t>
            </w:r>
          </w:p>
        </w:tc>
        <w:tc>
          <w:tcPr>
            <w:tcW w:w="2841" w:type="dxa"/>
            <w:tcBorders>
              <w:left w:val="single" w:sz="4" w:space="0" w:color="000000"/>
              <w:bottom w:val="single" w:sz="4" w:space="0" w:color="000000"/>
            </w:tcBorders>
            <w:shd w:val="clear" w:color="auto" w:fill="FF6600"/>
          </w:tcPr>
          <w:p>
            <w:pPr>
              <w:pStyle w:val="TableParagraph"/>
              <w:spacing w:before="80"/>
              <w:ind w:left="1049" w:right="1008"/>
              <w:jc w:val="center"/>
              <w:rPr>
                <w:b/>
                <w:sz w:val="24"/>
              </w:rPr>
            </w:pPr>
            <w:r>
              <w:rPr>
                <w:b/>
                <w:sz w:val="24"/>
              </w:rPr>
              <w:t>学生数</w:t>
            </w:r>
          </w:p>
        </w:tc>
      </w:tr>
      <w:tr>
        <w:trPr>
          <w:trHeight w:val="467" w:hRule="atLeast"/>
        </w:trPr>
        <w:tc>
          <w:tcPr>
            <w:tcW w:w="1548" w:type="dxa"/>
            <w:tcBorders>
              <w:top w:val="single" w:sz="4" w:space="0" w:color="000000"/>
              <w:bottom w:val="single" w:sz="4" w:space="0" w:color="000000"/>
              <w:right w:val="single" w:sz="4" w:space="0" w:color="000000"/>
            </w:tcBorders>
            <w:shd w:val="clear" w:color="auto" w:fill="CCFFFF"/>
          </w:tcPr>
          <w:p>
            <w:pPr>
              <w:pStyle w:val="TableParagraph"/>
              <w:spacing w:before="79"/>
              <w:ind w:left="16"/>
              <w:jc w:val="center"/>
              <w:rPr>
                <w:sz w:val="24"/>
              </w:rPr>
            </w:pPr>
            <w:r>
              <w:rPr>
                <w:sz w:val="24"/>
              </w:rPr>
              <w:t>1</w:t>
            </w:r>
          </w:p>
        </w:tc>
        <w:tc>
          <w:tcPr>
            <w:tcW w:w="4133" w:type="dxa"/>
            <w:tcBorders>
              <w:top w:val="single" w:sz="4" w:space="0" w:color="000000"/>
              <w:left w:val="single" w:sz="4" w:space="0" w:color="000000"/>
              <w:bottom w:val="single" w:sz="4" w:space="0" w:color="000000"/>
              <w:right w:val="single" w:sz="4" w:space="0" w:color="000000"/>
            </w:tcBorders>
            <w:shd w:val="clear" w:color="auto" w:fill="CCFFFF"/>
          </w:tcPr>
          <w:p>
            <w:pPr>
              <w:pStyle w:val="TableParagraph"/>
              <w:spacing w:before="79"/>
              <w:ind w:left="735" w:right="707"/>
              <w:jc w:val="center"/>
              <w:rPr>
                <w:sz w:val="24"/>
              </w:rPr>
            </w:pPr>
            <w:r>
              <w:rPr>
                <w:sz w:val="24"/>
              </w:rPr>
              <w:t>招生计划</w:t>
            </w:r>
          </w:p>
        </w:tc>
        <w:tc>
          <w:tcPr>
            <w:tcW w:w="2841" w:type="dxa"/>
            <w:tcBorders>
              <w:top w:val="single" w:sz="4" w:space="0" w:color="000000"/>
              <w:left w:val="single" w:sz="4" w:space="0" w:color="000000"/>
              <w:bottom w:val="single" w:sz="4" w:space="0" w:color="000000"/>
            </w:tcBorders>
            <w:shd w:val="clear" w:color="auto" w:fill="CCFFFF"/>
          </w:tcPr>
          <w:p>
            <w:pPr>
              <w:pStyle w:val="TableParagraph"/>
              <w:spacing w:before="79"/>
              <w:ind w:left="1047" w:right="1008"/>
              <w:jc w:val="center"/>
              <w:rPr>
                <w:sz w:val="24"/>
              </w:rPr>
            </w:pPr>
            <w:r>
              <w:rPr>
                <w:sz w:val="24"/>
              </w:rPr>
              <w:t>4238</w:t>
            </w:r>
          </w:p>
        </w:tc>
      </w:tr>
      <w:tr>
        <w:trPr>
          <w:trHeight w:val="468" w:hRule="atLeast"/>
        </w:trPr>
        <w:tc>
          <w:tcPr>
            <w:tcW w:w="1548" w:type="dxa"/>
            <w:tcBorders>
              <w:top w:val="single" w:sz="4" w:space="0" w:color="000000"/>
              <w:bottom w:val="single" w:sz="4" w:space="0" w:color="000000"/>
              <w:right w:val="single" w:sz="4" w:space="0" w:color="000000"/>
            </w:tcBorders>
            <w:shd w:val="clear" w:color="auto" w:fill="CCFFFF"/>
          </w:tcPr>
          <w:p>
            <w:pPr>
              <w:pStyle w:val="TableParagraph"/>
              <w:spacing w:before="79"/>
              <w:ind w:left="16"/>
              <w:jc w:val="center"/>
              <w:rPr>
                <w:sz w:val="24"/>
              </w:rPr>
            </w:pPr>
            <w:r>
              <w:rPr>
                <w:sz w:val="24"/>
              </w:rPr>
              <w:t>2</w:t>
            </w:r>
          </w:p>
        </w:tc>
        <w:tc>
          <w:tcPr>
            <w:tcW w:w="4133" w:type="dxa"/>
            <w:tcBorders>
              <w:top w:val="single" w:sz="4" w:space="0" w:color="000000"/>
              <w:left w:val="single" w:sz="4" w:space="0" w:color="000000"/>
              <w:bottom w:val="single" w:sz="4" w:space="0" w:color="000000"/>
              <w:right w:val="single" w:sz="4" w:space="0" w:color="000000"/>
            </w:tcBorders>
            <w:shd w:val="clear" w:color="auto" w:fill="CCFFFF"/>
          </w:tcPr>
          <w:p>
            <w:pPr>
              <w:pStyle w:val="TableParagraph"/>
              <w:spacing w:before="79"/>
              <w:ind w:left="735" w:right="707"/>
              <w:jc w:val="center"/>
              <w:rPr>
                <w:sz w:val="24"/>
              </w:rPr>
            </w:pPr>
            <w:r>
              <w:rPr>
                <w:sz w:val="24"/>
              </w:rPr>
              <w:t>实际报到</w:t>
            </w:r>
          </w:p>
        </w:tc>
        <w:tc>
          <w:tcPr>
            <w:tcW w:w="2841" w:type="dxa"/>
            <w:tcBorders>
              <w:top w:val="single" w:sz="4" w:space="0" w:color="000000"/>
              <w:left w:val="single" w:sz="4" w:space="0" w:color="000000"/>
              <w:bottom w:val="single" w:sz="4" w:space="0" w:color="000000"/>
            </w:tcBorders>
            <w:shd w:val="clear" w:color="auto" w:fill="CCFFFF"/>
          </w:tcPr>
          <w:p>
            <w:pPr>
              <w:pStyle w:val="TableParagraph"/>
              <w:spacing w:before="79"/>
              <w:ind w:left="1047" w:right="1008"/>
              <w:jc w:val="center"/>
              <w:rPr>
                <w:sz w:val="24"/>
              </w:rPr>
            </w:pPr>
            <w:r>
              <w:rPr>
                <w:sz w:val="24"/>
              </w:rPr>
              <w:t>3974</w:t>
            </w:r>
          </w:p>
        </w:tc>
      </w:tr>
      <w:tr>
        <w:trPr>
          <w:trHeight w:val="467" w:hRule="atLeast"/>
        </w:trPr>
        <w:tc>
          <w:tcPr>
            <w:tcW w:w="1548" w:type="dxa"/>
            <w:tcBorders>
              <w:top w:val="single" w:sz="4" w:space="0" w:color="000000"/>
              <w:bottom w:val="single" w:sz="4" w:space="0" w:color="000000"/>
              <w:right w:val="single" w:sz="4" w:space="0" w:color="000000"/>
            </w:tcBorders>
            <w:shd w:val="clear" w:color="auto" w:fill="CCFFFF"/>
          </w:tcPr>
          <w:p>
            <w:pPr>
              <w:pStyle w:val="TableParagraph"/>
              <w:spacing w:before="79"/>
              <w:ind w:left="16"/>
              <w:jc w:val="center"/>
              <w:rPr>
                <w:sz w:val="24"/>
              </w:rPr>
            </w:pPr>
            <w:r>
              <w:rPr>
                <w:sz w:val="24"/>
              </w:rPr>
              <w:t>3</w:t>
            </w:r>
          </w:p>
        </w:tc>
        <w:tc>
          <w:tcPr>
            <w:tcW w:w="4133" w:type="dxa"/>
            <w:tcBorders>
              <w:top w:val="single" w:sz="4" w:space="0" w:color="000000"/>
              <w:left w:val="single" w:sz="4" w:space="0" w:color="000000"/>
              <w:bottom w:val="single" w:sz="4" w:space="0" w:color="000000"/>
              <w:right w:val="single" w:sz="4" w:space="0" w:color="000000"/>
            </w:tcBorders>
            <w:shd w:val="clear" w:color="auto" w:fill="CCFFFF"/>
          </w:tcPr>
          <w:p>
            <w:pPr>
              <w:pStyle w:val="TableParagraph"/>
              <w:spacing w:before="79"/>
              <w:ind w:left="735" w:right="707"/>
              <w:jc w:val="center"/>
              <w:rPr>
                <w:sz w:val="24"/>
              </w:rPr>
            </w:pPr>
            <w:r>
              <w:rPr>
                <w:sz w:val="24"/>
              </w:rPr>
              <w:t>其中：单独招生报名</w:t>
            </w:r>
          </w:p>
        </w:tc>
        <w:tc>
          <w:tcPr>
            <w:tcW w:w="2841" w:type="dxa"/>
            <w:tcBorders>
              <w:top w:val="single" w:sz="4" w:space="0" w:color="000000"/>
              <w:left w:val="single" w:sz="4" w:space="0" w:color="000000"/>
              <w:bottom w:val="single" w:sz="4" w:space="0" w:color="000000"/>
            </w:tcBorders>
            <w:shd w:val="clear" w:color="auto" w:fill="CCFFFF"/>
          </w:tcPr>
          <w:p>
            <w:pPr>
              <w:pStyle w:val="TableParagraph"/>
              <w:spacing w:before="79"/>
              <w:ind w:left="1047" w:right="1008"/>
              <w:jc w:val="center"/>
              <w:rPr>
                <w:sz w:val="24"/>
              </w:rPr>
            </w:pPr>
            <w:r>
              <w:rPr>
                <w:sz w:val="24"/>
              </w:rPr>
              <w:t>4372</w:t>
            </w:r>
          </w:p>
        </w:tc>
      </w:tr>
      <w:tr>
        <w:trPr>
          <w:trHeight w:val="467" w:hRule="atLeast"/>
        </w:trPr>
        <w:tc>
          <w:tcPr>
            <w:tcW w:w="1548" w:type="dxa"/>
            <w:tcBorders>
              <w:top w:val="single" w:sz="4" w:space="0" w:color="000000"/>
              <w:right w:val="single" w:sz="4" w:space="0" w:color="000000"/>
            </w:tcBorders>
            <w:shd w:val="clear" w:color="auto" w:fill="CCFFFF"/>
          </w:tcPr>
          <w:p>
            <w:pPr>
              <w:pStyle w:val="TableParagraph"/>
              <w:spacing w:before="81"/>
              <w:ind w:left="16"/>
              <w:jc w:val="center"/>
              <w:rPr>
                <w:sz w:val="24"/>
              </w:rPr>
            </w:pPr>
            <w:r>
              <w:rPr>
                <w:sz w:val="24"/>
              </w:rPr>
              <w:t>4</w:t>
            </w:r>
          </w:p>
        </w:tc>
        <w:tc>
          <w:tcPr>
            <w:tcW w:w="4133" w:type="dxa"/>
            <w:tcBorders>
              <w:top w:val="single" w:sz="4" w:space="0" w:color="000000"/>
              <w:left w:val="single" w:sz="4" w:space="0" w:color="000000"/>
              <w:right w:val="single" w:sz="4" w:space="0" w:color="000000"/>
            </w:tcBorders>
            <w:shd w:val="clear" w:color="auto" w:fill="CCFFFF"/>
          </w:tcPr>
          <w:p>
            <w:pPr>
              <w:pStyle w:val="TableParagraph"/>
              <w:spacing w:before="81"/>
              <w:ind w:left="735" w:right="707"/>
              <w:jc w:val="center"/>
              <w:rPr>
                <w:sz w:val="24"/>
              </w:rPr>
            </w:pPr>
            <w:r>
              <w:rPr>
                <w:sz w:val="24"/>
              </w:rPr>
              <w:t>其中：单独招生录取</w:t>
            </w:r>
          </w:p>
        </w:tc>
        <w:tc>
          <w:tcPr>
            <w:tcW w:w="2841" w:type="dxa"/>
            <w:tcBorders>
              <w:top w:val="single" w:sz="4" w:space="0" w:color="000000"/>
              <w:left w:val="single" w:sz="4" w:space="0" w:color="000000"/>
            </w:tcBorders>
            <w:shd w:val="clear" w:color="auto" w:fill="CCFFFF"/>
          </w:tcPr>
          <w:p>
            <w:pPr>
              <w:pStyle w:val="TableParagraph"/>
              <w:spacing w:before="81"/>
              <w:ind w:left="1047" w:right="1008"/>
              <w:jc w:val="center"/>
              <w:rPr>
                <w:sz w:val="24"/>
              </w:rPr>
            </w:pPr>
            <w:r>
              <w:rPr>
                <w:sz w:val="24"/>
              </w:rPr>
              <w:t>1600</w:t>
            </w:r>
          </w:p>
        </w:tc>
      </w:tr>
    </w:tbl>
    <w:p>
      <w:pPr>
        <w:spacing w:before="98"/>
        <w:ind w:left="7929" w:right="0" w:firstLine="0"/>
        <w:jc w:val="left"/>
        <w:rPr>
          <w:b/>
          <w:sz w:val="21"/>
        </w:rPr>
      </w:pPr>
      <w:r>
        <w:rPr>
          <w:b/>
          <w:sz w:val="21"/>
        </w:rPr>
        <w:t>数据来源：学院招生就业处</w:t>
      </w:r>
    </w:p>
    <w:p>
      <w:pPr>
        <w:pStyle w:val="BodyText"/>
        <w:spacing w:before="5"/>
        <w:rPr>
          <w:b/>
          <w:sz w:val="8"/>
        </w:rPr>
      </w:pPr>
      <w:r>
        <w:rPr/>
        <w:drawing>
          <wp:anchor distT="0" distB="0" distL="0" distR="0" allowOverlap="1" layoutInCell="1" locked="0" behindDoc="0" simplePos="0" relativeHeight="6">
            <wp:simplePos x="0" y="0"/>
            <wp:positionH relativeFrom="page">
              <wp:posOffset>1859666</wp:posOffset>
            </wp:positionH>
            <wp:positionV relativeFrom="paragraph">
              <wp:posOffset>93432</wp:posOffset>
            </wp:positionV>
            <wp:extent cx="3840200" cy="2640330"/>
            <wp:effectExtent l="0" t="0" r="0" b="0"/>
            <wp:wrapTopAndBottom/>
            <wp:docPr id="19" name="image14.jpeg"/>
            <wp:cNvGraphicFramePr>
              <a:graphicFrameLocks noChangeAspect="1"/>
            </wp:cNvGraphicFramePr>
            <a:graphic>
              <a:graphicData uri="http://schemas.openxmlformats.org/drawingml/2006/picture">
                <pic:pic>
                  <pic:nvPicPr>
                    <pic:cNvPr id="20" name="image14.jpeg"/>
                    <pic:cNvPicPr/>
                  </pic:nvPicPr>
                  <pic:blipFill>
                    <a:blip r:embed="rId23" cstate="print"/>
                    <a:stretch>
                      <a:fillRect/>
                    </a:stretch>
                  </pic:blipFill>
                  <pic:spPr>
                    <a:xfrm>
                      <a:off x="0" y="0"/>
                      <a:ext cx="3840200" cy="2640330"/>
                    </a:xfrm>
                    <a:prstGeom prst="rect">
                      <a:avLst/>
                    </a:prstGeom>
                  </pic:spPr>
                </pic:pic>
              </a:graphicData>
            </a:graphic>
          </wp:anchor>
        </w:drawing>
      </w:r>
    </w:p>
    <w:p>
      <w:pPr>
        <w:tabs>
          <w:tab w:pos="791" w:val="left" w:leader="none"/>
        </w:tabs>
        <w:spacing w:before="156"/>
        <w:ind w:left="0" w:right="26" w:firstLine="0"/>
        <w:jc w:val="center"/>
        <w:rPr>
          <w:b/>
          <w:sz w:val="21"/>
        </w:rPr>
      </w:pPr>
      <w:r>
        <w:rPr>
          <w:b/>
          <w:sz w:val="21"/>
        </w:rPr>
        <w:t>图</w:t>
      </w:r>
      <w:r>
        <w:rPr>
          <w:b/>
          <w:spacing w:val="-52"/>
          <w:sz w:val="21"/>
        </w:rPr>
        <w:t> </w:t>
      </w:r>
      <w:r>
        <w:rPr>
          <w:b/>
          <w:sz w:val="21"/>
        </w:rPr>
        <w:t>1-6</w:t>
        <w:tab/>
        <w:t>毕业生高考时报考学院原因统计</w:t>
      </w:r>
    </w:p>
    <w:p>
      <w:pPr>
        <w:spacing w:before="43"/>
        <w:ind w:left="4390" w:right="1" w:firstLine="0"/>
        <w:jc w:val="center"/>
        <w:rPr>
          <w:b/>
          <w:sz w:val="21"/>
        </w:rPr>
      </w:pPr>
      <w:r>
        <w:rPr>
          <w:b/>
          <w:sz w:val="21"/>
        </w:rPr>
        <w:t>数据来源：全国高职院校状态数据采集与管理系统</w:t>
      </w:r>
    </w:p>
    <w:p>
      <w:pPr>
        <w:spacing w:after="0"/>
        <w:jc w:val="center"/>
        <w:rPr>
          <w:sz w:val="21"/>
        </w:rPr>
        <w:sectPr>
          <w:pgSz w:w="11910" w:h="16840"/>
          <w:pgMar w:header="780" w:footer="1241" w:top="1260" w:bottom="1440" w:left="0" w:right="0"/>
        </w:sectPr>
      </w:pPr>
    </w:p>
    <w:p>
      <w:pPr>
        <w:pStyle w:val="Heading2"/>
        <w:numPr>
          <w:ilvl w:val="1"/>
          <w:numId w:val="2"/>
        </w:numPr>
        <w:tabs>
          <w:tab w:pos="2471" w:val="left" w:leader="none"/>
          <w:tab w:pos="2472" w:val="left" w:leader="none"/>
        </w:tabs>
        <w:spacing w:line="240" w:lineRule="auto" w:before="141" w:after="0"/>
        <w:ind w:left="2472" w:right="0" w:hanging="574"/>
        <w:jc w:val="left"/>
        <w:rPr>
          <w:rFonts w:ascii="Arial" w:eastAsia="Arial"/>
        </w:rPr>
      </w:pPr>
      <w:bookmarkStart w:name="1.3  学院特色" w:id="19"/>
      <w:bookmarkEnd w:id="19"/>
      <w:r>
        <w:rPr>
          <w:b w:val="0"/>
        </w:rPr>
      </w:r>
      <w:bookmarkStart w:name="_bookmark6" w:id="20"/>
      <w:bookmarkEnd w:id="20"/>
      <w:r>
        <w:rPr>
          <w:b w:val="0"/>
        </w:rPr>
      </w:r>
      <w:bookmarkStart w:name="_bookmark6" w:id="21"/>
      <w:bookmarkEnd w:id="21"/>
      <w:r>
        <w:rPr/>
        <w:t>学院特色</w:t>
      </w:r>
    </w:p>
    <w:p>
      <w:pPr>
        <w:pStyle w:val="BodyText"/>
        <w:spacing w:before="6"/>
        <w:rPr>
          <w:rFonts w:ascii="黑体"/>
          <w:b/>
        </w:rPr>
      </w:pPr>
    </w:p>
    <w:p>
      <w:pPr>
        <w:pStyle w:val="Heading2"/>
        <w:numPr>
          <w:ilvl w:val="2"/>
          <w:numId w:val="2"/>
        </w:numPr>
        <w:tabs>
          <w:tab w:pos="2743" w:val="left" w:leader="none"/>
          <w:tab w:pos="2744" w:val="left" w:leader="none"/>
        </w:tabs>
        <w:spacing w:line="240" w:lineRule="auto" w:before="0" w:after="0"/>
        <w:ind w:left="2743" w:right="0" w:hanging="846"/>
        <w:jc w:val="left"/>
      </w:pPr>
      <w:bookmarkStart w:name="1.3.1  适应绿色化工发展的特色专业体系" w:id="22"/>
      <w:bookmarkEnd w:id="22"/>
      <w:r>
        <w:rPr>
          <w:b w:val="0"/>
        </w:rPr>
      </w:r>
      <w:bookmarkStart w:name="_bookmark7" w:id="23"/>
      <w:bookmarkEnd w:id="23"/>
      <w:r>
        <w:rPr>
          <w:b w:val="0"/>
        </w:rPr>
      </w:r>
      <w:bookmarkStart w:name="_bookmark7" w:id="24"/>
      <w:bookmarkEnd w:id="24"/>
      <w:r>
        <w:rPr/>
        <w:t>适应绿色化工发展的特色专业体系</w:t>
      </w:r>
    </w:p>
    <w:p>
      <w:pPr>
        <w:pStyle w:val="BodyText"/>
        <w:spacing w:before="9"/>
        <w:rPr>
          <w:rFonts w:ascii="黑体"/>
          <w:b/>
        </w:rPr>
      </w:pPr>
    </w:p>
    <w:p>
      <w:pPr>
        <w:pStyle w:val="BodyText"/>
        <w:spacing w:line="364" w:lineRule="auto"/>
        <w:ind w:left="1418" w:right="1334" w:firstLine="480"/>
      </w:pPr>
      <w:r>
        <w:rPr>
          <w:spacing w:val="-10"/>
        </w:rPr>
        <w:t>学院坚持“根植化工、合作育人、创新驱动、铸造品牌”办学理念，依托湖南省第</w:t>
      </w:r>
      <w:r>
        <w:rPr>
          <w:spacing w:val="-16"/>
        </w:rPr>
        <w:t>二大基础、优势和支柱产业——石化产业办学，根据专业群建设特点和规律，强化政府、</w:t>
      </w:r>
      <w:r>
        <w:rPr>
          <w:spacing w:val="-10"/>
        </w:rPr>
        <w:t>行业、企业、学院四方联动，对接石化产业及创新创业园区，着力构建政府统筹、区校</w:t>
      </w:r>
      <w:r>
        <w:rPr>
          <w:spacing w:val="-11"/>
        </w:rPr>
        <w:t>协调、校企合作、多元发展的长效机制。完善了对准产业结构变化调整专业设置，对准</w:t>
      </w:r>
      <w:r>
        <w:rPr>
          <w:spacing w:val="-15"/>
        </w:rPr>
        <w:t>生产岗位变化调整课程内容的“两对准、两调整”的专业动态调整机制，构建了以化工</w:t>
      </w:r>
      <w:r>
        <w:rPr>
          <w:spacing w:val="-18"/>
        </w:rPr>
        <w:t>生产技术和化学与生物制药技术专业群为核心，以化工智能制造与控制技术、人工智能技术和化工生产运营与管理专业群为环绕服务的专业集群。</w:t>
      </w:r>
    </w:p>
    <w:p>
      <w:pPr>
        <w:pStyle w:val="Heading2"/>
        <w:numPr>
          <w:ilvl w:val="2"/>
          <w:numId w:val="2"/>
        </w:numPr>
        <w:tabs>
          <w:tab w:pos="2743" w:val="left" w:leader="none"/>
          <w:tab w:pos="2744" w:val="left" w:leader="none"/>
        </w:tabs>
        <w:spacing w:line="240" w:lineRule="auto" w:before="5" w:after="0"/>
        <w:ind w:left="2743" w:right="0" w:hanging="846"/>
        <w:jc w:val="left"/>
      </w:pPr>
      <w:bookmarkStart w:name="1.3.2  职业素质与技能并重的人才培养体系" w:id="25"/>
      <w:bookmarkEnd w:id="25"/>
      <w:r>
        <w:rPr>
          <w:b w:val="0"/>
        </w:rPr>
      </w:r>
      <w:bookmarkStart w:name="_bookmark8" w:id="26"/>
      <w:bookmarkEnd w:id="26"/>
      <w:r>
        <w:rPr>
          <w:b w:val="0"/>
        </w:rPr>
      </w:r>
      <w:bookmarkStart w:name="_bookmark8" w:id="27"/>
      <w:bookmarkEnd w:id="27"/>
      <w:r>
        <w:rPr/>
        <w:t>职业素质与技能并重的人才培养体系</w:t>
      </w:r>
    </w:p>
    <w:p>
      <w:pPr>
        <w:pStyle w:val="BodyText"/>
        <w:spacing w:before="6"/>
        <w:rPr>
          <w:rFonts w:ascii="黑体"/>
          <w:b/>
          <w:sz w:val="18"/>
        </w:rPr>
      </w:pPr>
    </w:p>
    <w:p>
      <w:pPr>
        <w:pStyle w:val="BodyText"/>
        <w:spacing w:line="364" w:lineRule="auto"/>
        <w:ind w:left="1418" w:right="1417" w:firstLine="480"/>
        <w:jc w:val="both"/>
      </w:pPr>
      <w:r>
        <w:rPr>
          <w:spacing w:val="-5"/>
        </w:rPr>
        <w:t>学院构建了由职业基础、职业提升、职业发展、拓展训练四大模块组成的素质教育</w:t>
      </w:r>
      <w:r>
        <w:rPr>
          <w:spacing w:val="-8"/>
        </w:rPr>
        <w:t>体系，全面实施素质教育进教学计划、进教材、进课堂，实现三年不断线。立项湖南省</w:t>
      </w:r>
      <w:r>
        <w:rPr>
          <w:spacing w:val="-3"/>
        </w:rPr>
        <w:t>高校大学生思想政治教育建设项目 </w:t>
      </w:r>
      <w:r>
        <w:rPr/>
        <w:t>26</w:t>
      </w:r>
      <w:r>
        <w:rPr>
          <w:spacing w:val="-6"/>
        </w:rPr>
        <w:t> 项。同时，创新实施了技能训练和竞赛“三进三</w:t>
      </w:r>
      <w:r>
        <w:rPr>
          <w:spacing w:val="-9"/>
        </w:rPr>
        <w:t>融合”工作机制，该成果荣获国家教学成果二等奖。近三年来，学生获得技能竞赛国家</w:t>
      </w:r>
      <w:r>
        <w:rPr>
          <w:spacing w:val="-11"/>
        </w:rPr>
        <w:t>级一等奖 </w:t>
      </w:r>
      <w:r>
        <w:rPr/>
        <w:t>7</w:t>
      </w:r>
      <w:r>
        <w:rPr>
          <w:spacing w:val="-17"/>
        </w:rPr>
        <w:t> 项、二等奖 </w:t>
      </w:r>
      <w:r>
        <w:rPr/>
        <w:t>7</w:t>
      </w:r>
      <w:r>
        <w:rPr>
          <w:spacing w:val="-17"/>
        </w:rPr>
        <w:t> 项、三等奖 </w:t>
      </w:r>
      <w:r>
        <w:rPr/>
        <w:t>18</w:t>
      </w:r>
      <w:r>
        <w:rPr>
          <w:spacing w:val="-13"/>
        </w:rPr>
        <w:t> 项；获省级一等奖 </w:t>
      </w:r>
      <w:r>
        <w:rPr/>
        <w:t>23</w:t>
      </w:r>
      <w:r>
        <w:rPr>
          <w:spacing w:val="-16"/>
        </w:rPr>
        <w:t> 项、二等奖 </w:t>
      </w:r>
      <w:r>
        <w:rPr/>
        <w:t>32</w:t>
      </w:r>
      <w:r>
        <w:rPr>
          <w:spacing w:val="-12"/>
        </w:rPr>
        <w:t> 项、省级</w:t>
      </w:r>
    </w:p>
    <w:p>
      <w:pPr>
        <w:pStyle w:val="BodyText"/>
        <w:spacing w:line="306" w:lineRule="exact"/>
        <w:ind w:left="1418"/>
        <w:jc w:val="both"/>
      </w:pPr>
      <w:r>
        <w:rPr/>
        <w:t>三等奖 22 项。</w:t>
      </w:r>
    </w:p>
    <w:p>
      <w:pPr>
        <w:pStyle w:val="BodyText"/>
        <w:spacing w:before="7"/>
        <w:rPr>
          <w:sz w:val="18"/>
        </w:rPr>
      </w:pPr>
    </w:p>
    <w:p>
      <w:pPr>
        <w:pStyle w:val="Heading2"/>
        <w:numPr>
          <w:ilvl w:val="2"/>
          <w:numId w:val="2"/>
        </w:numPr>
        <w:tabs>
          <w:tab w:pos="2743" w:val="left" w:leader="none"/>
          <w:tab w:pos="2744" w:val="left" w:leader="none"/>
        </w:tabs>
        <w:spacing w:line="240" w:lineRule="auto" w:before="0" w:after="0"/>
        <w:ind w:left="2743" w:right="0" w:hanging="846"/>
        <w:jc w:val="left"/>
      </w:pPr>
      <w:bookmarkStart w:name="1.3.3  全省领先的“四轮驱动”就业创业教育体系" w:id="28"/>
      <w:bookmarkEnd w:id="28"/>
      <w:r>
        <w:rPr>
          <w:b w:val="0"/>
        </w:rPr>
      </w:r>
      <w:bookmarkStart w:name="_bookmark9" w:id="29"/>
      <w:bookmarkEnd w:id="29"/>
      <w:r>
        <w:rPr>
          <w:b w:val="0"/>
        </w:rPr>
      </w:r>
      <w:bookmarkStart w:name="_bookmark9" w:id="30"/>
      <w:bookmarkEnd w:id="30"/>
      <w:r>
        <w:rPr/>
        <w:t>全省领先的“四轮驱动”就业创业教育体系</w:t>
      </w:r>
    </w:p>
    <w:p>
      <w:pPr>
        <w:pStyle w:val="BodyText"/>
        <w:spacing w:before="6"/>
        <w:rPr>
          <w:rFonts w:ascii="黑体"/>
          <w:b/>
          <w:sz w:val="18"/>
        </w:rPr>
      </w:pPr>
    </w:p>
    <w:p>
      <w:pPr>
        <w:pStyle w:val="BodyText"/>
        <w:spacing w:line="364" w:lineRule="auto" w:before="1"/>
        <w:ind w:left="1418" w:right="1293" w:firstLine="480"/>
      </w:pPr>
      <w:r>
        <w:rPr>
          <w:spacing w:val="-3"/>
        </w:rPr>
        <w:t>学院连续第四届获湖南省高校就业创业工作“一把手工程”督查优秀等级。构建了</w:t>
      </w:r>
      <w:r>
        <w:rPr>
          <w:spacing w:val="-6"/>
        </w:rPr>
        <w:t>通过深入推进素质教育项目提升学生综合职业能力、搭建实践训练拓展平台提高学生技</w:t>
      </w:r>
      <w:r>
        <w:rPr>
          <w:spacing w:val="-8"/>
        </w:rPr>
        <w:t>能水平、创新就业创业教育模式提高学生就业创业能力、招生培养就业联动提高毕业生</w:t>
      </w:r>
      <w:r>
        <w:rPr>
          <w:spacing w:val="-16"/>
        </w:rPr>
        <w:t>市场适应能力的“四轮驱动”就业创业教育体系，实现了就业创业教育全程化、全员化、</w:t>
      </w:r>
      <w:r>
        <w:rPr>
          <w:spacing w:val="-4"/>
        </w:rPr>
        <w:t>专业化。麦可思调查显示，学院 </w:t>
      </w:r>
      <w:r>
        <w:rPr/>
        <w:t>2014—2018</w:t>
      </w:r>
      <w:r>
        <w:rPr>
          <w:spacing w:val="-7"/>
        </w:rPr>
        <w:t> 届毕业生的“自主创业”的比例一直位居</w:t>
      </w:r>
    </w:p>
    <w:p>
      <w:pPr>
        <w:pStyle w:val="BodyText"/>
        <w:spacing w:line="362" w:lineRule="auto"/>
        <w:ind w:left="1418" w:right="1417"/>
        <w:jc w:val="both"/>
      </w:pPr>
      <w:r>
        <w:rPr>
          <w:spacing w:val="-8"/>
        </w:rPr>
        <w:t>高位，分别比全国高职院校平均水平高出 </w:t>
      </w:r>
      <w:r>
        <w:rPr/>
        <w:t>2</w:t>
      </w:r>
      <w:r>
        <w:rPr>
          <w:spacing w:val="-10"/>
        </w:rPr>
        <w:t> 个百分点以上。学院就业创业教育体系建设</w:t>
      </w:r>
      <w:r>
        <w:rPr>
          <w:spacing w:val="-3"/>
        </w:rPr>
        <w:t>研究与实践成果获湖南省教育教学改革发展优秀成果一等奖、湖南省高等教育省级教学</w:t>
      </w:r>
      <w:r>
        <w:rPr/>
        <w:t>成果二等奖。</w:t>
      </w:r>
    </w:p>
    <w:p>
      <w:pPr>
        <w:pStyle w:val="Heading2"/>
        <w:numPr>
          <w:ilvl w:val="2"/>
          <w:numId w:val="2"/>
        </w:numPr>
        <w:tabs>
          <w:tab w:pos="2743" w:val="left" w:leader="none"/>
          <w:tab w:pos="2744" w:val="left" w:leader="none"/>
        </w:tabs>
        <w:spacing w:line="240" w:lineRule="auto" w:before="81" w:after="0"/>
        <w:ind w:left="2743" w:right="0" w:hanging="846"/>
        <w:jc w:val="left"/>
      </w:pPr>
      <w:bookmarkStart w:name="1.3.4  全省示范的“应用导向”信息化教学改革模式" w:id="31"/>
      <w:bookmarkEnd w:id="31"/>
      <w:r>
        <w:rPr>
          <w:b w:val="0"/>
        </w:rPr>
      </w:r>
      <w:bookmarkStart w:name="_bookmark10" w:id="32"/>
      <w:bookmarkEnd w:id="32"/>
      <w:r>
        <w:rPr>
          <w:b w:val="0"/>
        </w:rPr>
      </w:r>
      <w:bookmarkStart w:name="_bookmark10" w:id="33"/>
      <w:bookmarkEnd w:id="33"/>
      <w:r>
        <w:rPr/>
        <w:t>全省示范的“应用导向”信息化教学改革模式</w:t>
      </w:r>
    </w:p>
    <w:p>
      <w:pPr>
        <w:pStyle w:val="BodyText"/>
        <w:spacing w:before="9"/>
        <w:rPr>
          <w:rFonts w:ascii="黑体"/>
          <w:b/>
          <w:sz w:val="18"/>
        </w:rPr>
      </w:pPr>
    </w:p>
    <w:p>
      <w:pPr>
        <w:pStyle w:val="BodyText"/>
        <w:spacing w:line="362" w:lineRule="auto"/>
        <w:ind w:left="1418" w:right="1363" w:firstLine="480"/>
      </w:pPr>
      <w:r>
        <w:rPr/>
        <w:t>学院围绕学习者中心，着眼教学效能提升，针对解决教学问题，落实“系统设计与分步推进结合、方案与过程管理落地、应用与创新相促进”的思路，深入推进教育信息</w:t>
      </w:r>
    </w:p>
    <w:p>
      <w:pPr>
        <w:spacing w:after="0" w:line="362" w:lineRule="auto"/>
        <w:sectPr>
          <w:pgSz w:w="11910" w:h="16840"/>
          <w:pgMar w:header="780" w:footer="1241" w:top="1260" w:bottom="1440" w:left="0" w:right="0"/>
        </w:sectPr>
      </w:pPr>
    </w:p>
    <w:p>
      <w:pPr>
        <w:pStyle w:val="BodyText"/>
        <w:spacing w:line="364" w:lineRule="auto" w:before="141"/>
        <w:ind w:left="1418" w:right="1297"/>
      </w:pPr>
      <w:r>
        <w:rPr>
          <w:spacing w:val="-23"/>
        </w:rPr>
        <w:t>化应用，“围绕‘一个’中心，坚持‘两项’原则，着力‘三个有效’”信息化教学理念，</w:t>
      </w:r>
      <w:r>
        <w:rPr>
          <w:spacing w:val="-5"/>
        </w:rPr>
        <w:t>实施‘三项’策略(见图 </w:t>
      </w:r>
      <w:r>
        <w:rPr/>
        <w:t>1-7)，解决信息技术在教学中应用的盲目性与形式化问题，确保信息化教学方法应用有效果、有效率和有效益的目标。形成了“1+N”信息化教学方</w:t>
      </w:r>
      <w:r>
        <w:rPr>
          <w:spacing w:val="-6"/>
        </w:rPr>
        <w:t>法应用模式，解决信息技术与专业教学方法融合不够问题。从分专业课程试点到常态化</w:t>
      </w:r>
      <w:r>
        <w:rPr>
          <w:spacing w:val="-12"/>
        </w:rPr>
        <w:t>教学应用，总结 </w:t>
      </w:r>
      <w:r>
        <w:rPr/>
        <w:t>12</w:t>
      </w:r>
      <w:r>
        <w:rPr>
          <w:spacing w:val="-7"/>
        </w:rPr>
        <w:t> 种信息技术与课程教学深度融合的教学方式，编著出版《职业院校</w:t>
      </w:r>
      <w:r>
        <w:rPr>
          <w:spacing w:val="-9"/>
        </w:rPr>
        <w:t>信息化教学方法应用典型案例》，推行“</w:t>
      </w:r>
      <w:r>
        <w:rPr/>
        <w:t>1+N</w:t>
      </w:r>
      <w:r>
        <w:rPr>
          <w:spacing w:val="-10"/>
        </w:rPr>
        <w:t>”信息化教学方法应用(即：</w:t>
      </w:r>
      <w:r>
        <w:rPr>
          <w:spacing w:val="2"/>
        </w:rPr>
        <w:t>“1</w:t>
      </w:r>
      <w:r>
        <w:rPr/>
        <w:t>”指信息技</w:t>
      </w:r>
      <w:r>
        <w:rPr>
          <w:spacing w:val="-70"/>
        </w:rPr>
        <w:t>术，</w:t>
      </w:r>
      <w:r>
        <w:rPr/>
        <w:t>“N</w:t>
      </w:r>
      <w:r>
        <w:rPr>
          <w:spacing w:val="-10"/>
        </w:rPr>
        <w:t>”指项目化、案例式等基于行动导向的多元教学方法，见图 </w:t>
      </w:r>
      <w:r>
        <w:rPr/>
        <w:t>1-8</w:t>
      </w:r>
      <w:r>
        <w:rPr>
          <w:spacing w:val="-6"/>
        </w:rPr>
        <w:t>)，构建“现代信</w:t>
      </w:r>
      <w:r>
        <w:rPr>
          <w:spacing w:val="-10"/>
        </w:rPr>
        <w:t>息技术+”教学生态。创建了信息化教学应用长效保障机制，提升教师信息化教学能力。</w:t>
      </w:r>
      <w:r>
        <w:rPr>
          <w:spacing w:val="-5"/>
        </w:rPr>
        <w:t>通过实施层级培训，建立考核评价机制，科学设置引导项目，开发并首创推行《高等职业院校教师信息化教学应用能力标准》(包含信息技术素养、信息化教学水平、信息化</w:t>
      </w:r>
      <w:r>
        <w:rPr>
          <w:spacing w:val="-11"/>
        </w:rPr>
        <w:t>研究能力和学习与发展能力四个维度，见图 </w:t>
      </w:r>
      <w:r>
        <w:rPr>
          <w:spacing w:val="-12"/>
        </w:rPr>
        <w:t>1-9)</w:t>
      </w:r>
      <w:r>
        <w:rPr>
          <w:spacing w:val="-3"/>
        </w:rPr>
        <w:t>，全方位构筑教师信息化教学能力持续</w:t>
      </w:r>
      <w:r>
        <w:rPr>
          <w:spacing w:val="-7"/>
        </w:rPr>
        <w:t>提升机制。有效解决了课程教学吸引力不够、教学评价不全面、信息化教学持续推进机</w:t>
      </w:r>
      <w:r>
        <w:rPr>
          <w:spacing w:val="-12"/>
        </w:rPr>
        <w:t>制缺乏等实际教学问题，大幅提升了教师教学能力方面取得了的实效，形成了良好的示</w:t>
      </w:r>
      <w:r>
        <w:rPr>
          <w:spacing w:val="-22"/>
        </w:rPr>
        <w:t>范作用。研究与实践成果获得全国教学成果二等奖和省级教学成果一等奖。</w:t>
      </w:r>
    </w:p>
    <w:p>
      <w:pPr>
        <w:pStyle w:val="BodyText"/>
        <w:ind w:left="3211"/>
        <w:rPr>
          <w:sz w:val="20"/>
        </w:rPr>
      </w:pPr>
      <w:r>
        <w:rPr>
          <w:sz w:val="20"/>
        </w:rPr>
        <w:drawing>
          <wp:inline distT="0" distB="0" distL="0" distR="0">
            <wp:extent cx="3491799" cy="1793748"/>
            <wp:effectExtent l="0" t="0" r="0" b="0"/>
            <wp:docPr id="21" name="image15.jpeg"/>
            <wp:cNvGraphicFramePr>
              <a:graphicFrameLocks noChangeAspect="1"/>
            </wp:cNvGraphicFramePr>
            <a:graphic>
              <a:graphicData uri="http://schemas.openxmlformats.org/drawingml/2006/picture">
                <pic:pic>
                  <pic:nvPicPr>
                    <pic:cNvPr id="22" name="image15.jpeg"/>
                    <pic:cNvPicPr/>
                  </pic:nvPicPr>
                  <pic:blipFill>
                    <a:blip r:embed="rId24" cstate="print"/>
                    <a:stretch>
                      <a:fillRect/>
                    </a:stretch>
                  </pic:blipFill>
                  <pic:spPr>
                    <a:xfrm>
                      <a:off x="0" y="0"/>
                      <a:ext cx="3491799" cy="1793748"/>
                    </a:xfrm>
                    <a:prstGeom prst="rect">
                      <a:avLst/>
                    </a:prstGeom>
                  </pic:spPr>
                </pic:pic>
              </a:graphicData>
            </a:graphic>
          </wp:inline>
        </w:drawing>
      </w:r>
      <w:r>
        <w:rPr>
          <w:sz w:val="20"/>
        </w:rPr>
      </w:r>
    </w:p>
    <w:p>
      <w:pPr>
        <w:tabs>
          <w:tab w:pos="791" w:val="left" w:leader="none"/>
        </w:tabs>
        <w:spacing w:before="153"/>
        <w:ind w:left="0" w:right="16" w:firstLine="0"/>
        <w:jc w:val="center"/>
        <w:rPr>
          <w:b/>
          <w:sz w:val="21"/>
        </w:rPr>
      </w:pPr>
      <w:r>
        <w:rPr>
          <w:b/>
          <w:sz w:val="21"/>
        </w:rPr>
        <w:t>图</w:t>
      </w:r>
      <w:r>
        <w:rPr>
          <w:b/>
          <w:spacing w:val="-53"/>
          <w:sz w:val="21"/>
        </w:rPr>
        <w:t> </w:t>
      </w:r>
      <w:r>
        <w:rPr>
          <w:b/>
          <w:sz w:val="21"/>
        </w:rPr>
        <w:t>1-7</w:t>
        <w:tab/>
        <w:t>推行“1+N”信息化教学方法应用模式的整体思路框图</w:t>
      </w:r>
    </w:p>
    <w:p>
      <w:pPr>
        <w:pStyle w:val="BodyText"/>
        <w:rPr>
          <w:b/>
          <w:sz w:val="20"/>
        </w:rPr>
      </w:pPr>
    </w:p>
    <w:p>
      <w:pPr>
        <w:pStyle w:val="BodyText"/>
        <w:spacing w:before="2"/>
        <w:rPr>
          <w:b/>
          <w:sz w:val="15"/>
        </w:rPr>
      </w:pPr>
      <w:r>
        <w:rPr/>
        <w:drawing>
          <wp:anchor distT="0" distB="0" distL="0" distR="0" allowOverlap="1" layoutInCell="1" locked="0" behindDoc="0" simplePos="0" relativeHeight="7">
            <wp:simplePos x="0" y="0"/>
            <wp:positionH relativeFrom="page">
              <wp:posOffset>2037588</wp:posOffset>
            </wp:positionH>
            <wp:positionV relativeFrom="paragraph">
              <wp:posOffset>148391</wp:posOffset>
            </wp:positionV>
            <wp:extent cx="3462490" cy="1975104"/>
            <wp:effectExtent l="0" t="0" r="0" b="0"/>
            <wp:wrapTopAndBottom/>
            <wp:docPr id="23" name="image16.jpeg"/>
            <wp:cNvGraphicFramePr>
              <a:graphicFrameLocks noChangeAspect="1"/>
            </wp:cNvGraphicFramePr>
            <a:graphic>
              <a:graphicData uri="http://schemas.openxmlformats.org/drawingml/2006/picture">
                <pic:pic>
                  <pic:nvPicPr>
                    <pic:cNvPr id="24" name="image16.jpeg"/>
                    <pic:cNvPicPr/>
                  </pic:nvPicPr>
                  <pic:blipFill>
                    <a:blip r:embed="rId25" cstate="print"/>
                    <a:stretch>
                      <a:fillRect/>
                    </a:stretch>
                  </pic:blipFill>
                  <pic:spPr>
                    <a:xfrm>
                      <a:off x="0" y="0"/>
                      <a:ext cx="3462490" cy="1975104"/>
                    </a:xfrm>
                    <a:prstGeom prst="rect">
                      <a:avLst/>
                    </a:prstGeom>
                  </pic:spPr>
                </pic:pic>
              </a:graphicData>
            </a:graphic>
          </wp:anchor>
        </w:drawing>
      </w:r>
    </w:p>
    <w:p>
      <w:pPr>
        <w:pStyle w:val="BodyText"/>
        <w:spacing w:before="8"/>
        <w:rPr>
          <w:b/>
          <w:sz w:val="7"/>
        </w:rPr>
      </w:pPr>
    </w:p>
    <w:p>
      <w:pPr>
        <w:tabs>
          <w:tab w:pos="791" w:val="left" w:leader="none"/>
        </w:tabs>
        <w:spacing w:before="70"/>
        <w:ind w:left="0" w:right="14" w:firstLine="0"/>
        <w:jc w:val="center"/>
        <w:rPr>
          <w:b/>
          <w:sz w:val="21"/>
        </w:rPr>
      </w:pPr>
      <w:r>
        <w:rPr>
          <w:b/>
          <w:sz w:val="21"/>
        </w:rPr>
        <w:t>图</w:t>
      </w:r>
      <w:r>
        <w:rPr>
          <w:b/>
          <w:spacing w:val="-52"/>
          <w:sz w:val="21"/>
        </w:rPr>
        <w:t> </w:t>
      </w:r>
      <w:r>
        <w:rPr>
          <w:b/>
          <w:sz w:val="21"/>
        </w:rPr>
        <w:t>1-8</w:t>
        <w:tab/>
        <w:t>推行“1+N”信息化教学方法应用模式的整体方案示意图</w:t>
      </w:r>
    </w:p>
    <w:p>
      <w:pPr>
        <w:spacing w:after="0"/>
        <w:jc w:val="center"/>
        <w:rPr>
          <w:sz w:val="21"/>
        </w:rPr>
        <w:sectPr>
          <w:pgSz w:w="11910" w:h="16840"/>
          <w:pgMar w:header="780" w:footer="1241" w:top="1260" w:bottom="1440" w:left="0" w:right="0"/>
        </w:sectPr>
      </w:pPr>
    </w:p>
    <w:p>
      <w:pPr>
        <w:pStyle w:val="BodyText"/>
        <w:spacing w:before="8"/>
        <w:rPr>
          <w:b/>
          <w:sz w:val="23"/>
        </w:rPr>
      </w:pPr>
    </w:p>
    <w:p>
      <w:pPr>
        <w:pStyle w:val="BodyText"/>
        <w:ind w:left="1676"/>
        <w:rPr>
          <w:sz w:val="20"/>
        </w:rPr>
      </w:pPr>
      <w:r>
        <w:rPr>
          <w:sz w:val="20"/>
        </w:rPr>
        <w:drawing>
          <wp:inline distT="0" distB="0" distL="0" distR="0">
            <wp:extent cx="5039385" cy="2370772"/>
            <wp:effectExtent l="0" t="0" r="0" b="0"/>
            <wp:docPr id="25" name="image17.jpeg"/>
            <wp:cNvGraphicFramePr>
              <a:graphicFrameLocks noChangeAspect="1"/>
            </wp:cNvGraphicFramePr>
            <a:graphic>
              <a:graphicData uri="http://schemas.openxmlformats.org/drawingml/2006/picture">
                <pic:pic>
                  <pic:nvPicPr>
                    <pic:cNvPr id="26" name="image17.jpeg"/>
                    <pic:cNvPicPr/>
                  </pic:nvPicPr>
                  <pic:blipFill>
                    <a:blip r:embed="rId26" cstate="print"/>
                    <a:stretch>
                      <a:fillRect/>
                    </a:stretch>
                  </pic:blipFill>
                  <pic:spPr>
                    <a:xfrm>
                      <a:off x="0" y="0"/>
                      <a:ext cx="5039385" cy="2370772"/>
                    </a:xfrm>
                    <a:prstGeom prst="rect">
                      <a:avLst/>
                    </a:prstGeom>
                  </pic:spPr>
                </pic:pic>
              </a:graphicData>
            </a:graphic>
          </wp:inline>
        </w:drawing>
      </w:r>
      <w:r>
        <w:rPr>
          <w:sz w:val="20"/>
        </w:rPr>
      </w:r>
    </w:p>
    <w:p>
      <w:pPr>
        <w:pStyle w:val="BodyText"/>
        <w:spacing w:before="4"/>
        <w:rPr>
          <w:b/>
          <w:sz w:val="12"/>
        </w:rPr>
      </w:pPr>
    </w:p>
    <w:p>
      <w:pPr>
        <w:tabs>
          <w:tab w:pos="791" w:val="left" w:leader="none"/>
        </w:tabs>
        <w:spacing w:before="70"/>
        <w:ind w:left="0" w:right="19" w:firstLine="0"/>
        <w:jc w:val="center"/>
        <w:rPr>
          <w:b/>
          <w:sz w:val="21"/>
        </w:rPr>
      </w:pPr>
      <w:r>
        <w:rPr>
          <w:b/>
          <w:sz w:val="21"/>
        </w:rPr>
        <w:t>图</w:t>
      </w:r>
      <w:r>
        <w:rPr>
          <w:b/>
          <w:spacing w:val="-53"/>
          <w:sz w:val="21"/>
        </w:rPr>
        <w:t> </w:t>
      </w:r>
      <w:r>
        <w:rPr>
          <w:b/>
          <w:sz w:val="21"/>
        </w:rPr>
        <w:t>1-9</w:t>
        <w:tab/>
        <w:t>学院教师信息化教学应用能力标准构成要素截图</w:t>
      </w:r>
    </w:p>
    <w:p>
      <w:pPr>
        <w:pStyle w:val="BodyText"/>
        <w:rPr>
          <w:b/>
          <w:sz w:val="20"/>
        </w:rPr>
      </w:pPr>
    </w:p>
    <w:p>
      <w:pPr>
        <w:pStyle w:val="Heading2"/>
        <w:numPr>
          <w:ilvl w:val="2"/>
          <w:numId w:val="2"/>
        </w:numPr>
        <w:tabs>
          <w:tab w:pos="2743" w:val="left" w:leader="none"/>
          <w:tab w:pos="2744" w:val="left" w:leader="none"/>
        </w:tabs>
        <w:spacing w:line="240" w:lineRule="auto" w:before="160" w:after="0"/>
        <w:ind w:left="2743" w:right="0" w:hanging="846"/>
        <w:jc w:val="left"/>
      </w:pPr>
      <w:bookmarkStart w:name="1.3.5  引领化工中小企业转型升级的“一主两翼”社会服务体系" w:id="34"/>
      <w:bookmarkEnd w:id="34"/>
      <w:r>
        <w:rPr>
          <w:b w:val="0"/>
        </w:rPr>
      </w:r>
      <w:bookmarkStart w:name="_bookmark11" w:id="35"/>
      <w:bookmarkEnd w:id="35"/>
      <w:r>
        <w:rPr>
          <w:b w:val="0"/>
        </w:rPr>
      </w:r>
      <w:bookmarkStart w:name="_bookmark11" w:id="36"/>
      <w:bookmarkEnd w:id="36"/>
      <w:r>
        <w:rPr/>
        <w:t>引领化工中小企业转型升级的“一主两翼”社会服务体系</w:t>
      </w:r>
    </w:p>
    <w:p>
      <w:pPr>
        <w:pStyle w:val="BodyText"/>
        <w:spacing w:before="7"/>
        <w:rPr>
          <w:rFonts w:ascii="黑体"/>
          <w:b/>
          <w:sz w:val="18"/>
        </w:rPr>
      </w:pPr>
    </w:p>
    <w:p>
      <w:pPr>
        <w:pStyle w:val="BodyText"/>
        <w:spacing w:line="364" w:lineRule="auto"/>
        <w:ind w:left="1418" w:right="1417" w:firstLine="480"/>
        <w:jc w:val="both"/>
      </w:pPr>
      <w:r>
        <w:rPr>
          <w:spacing w:val="-4"/>
        </w:rPr>
        <w:t>学院是湖南省高技能人才培训基地、湖南省企业人才培训示范基地、湖南化工职教</w:t>
      </w:r>
      <w:r>
        <w:rPr>
          <w:spacing w:val="-6"/>
        </w:rPr>
        <w:t>集团牵头单位。先后建立了石化中小企业科技创新服务平台、株洲化工产业技术创新战</w:t>
      </w:r>
      <w:r>
        <w:rPr>
          <w:spacing w:val="-7"/>
        </w:rPr>
        <w:t>略联盟、中小微化工企业合作发展委员会三个平台，与兴隆新材料有限公司共建了国家</w:t>
      </w:r>
      <w:r>
        <w:rPr>
          <w:spacing w:val="-6"/>
        </w:rPr>
        <w:t>级企业技术中心，与湖南省教育厅共建了省职业教育大数据研究中心。建立了以高素质技术技能人才培养为主体，送教入企、送技入企的“一主两翼”社会服务体系。一是开</w:t>
      </w:r>
      <w:r>
        <w:rPr>
          <w:spacing w:val="-16"/>
        </w:rPr>
        <w:t>展跨企业的“组合式订单培养”，近三年为中小微企业输送人才 </w:t>
      </w:r>
      <w:r>
        <w:rPr/>
        <w:t>3000</w:t>
      </w:r>
      <w:r>
        <w:rPr>
          <w:spacing w:val="-12"/>
        </w:rPr>
        <w:t> 余人。二是送教入</w:t>
      </w:r>
    </w:p>
    <w:p>
      <w:pPr>
        <w:pStyle w:val="BodyText"/>
        <w:spacing w:line="362" w:lineRule="auto"/>
        <w:ind w:left="1418" w:right="1394"/>
        <w:jc w:val="both"/>
      </w:pPr>
      <w:r>
        <w:rPr>
          <w:spacing w:val="-10"/>
        </w:rPr>
        <w:t>企，三年来开展各类培训 </w:t>
      </w:r>
      <w:r>
        <w:rPr/>
        <w:t>3</w:t>
      </w:r>
      <w:r>
        <w:rPr>
          <w:spacing w:val="-20"/>
        </w:rPr>
        <w:t> 万余人次。三是送技入企，累计为中小微化工企业开展工艺优</w:t>
      </w:r>
      <w:r>
        <w:rPr>
          <w:spacing w:val="-16"/>
        </w:rPr>
        <w:t>化、技术升级等项目</w:t>
      </w:r>
      <w:r>
        <w:rPr>
          <w:spacing w:val="-4"/>
        </w:rPr>
        <w:t>68</w:t>
      </w:r>
      <w:r>
        <w:rPr>
          <w:spacing w:val="-24"/>
        </w:rPr>
        <w:t> 项，为企业创造经济效益</w:t>
      </w:r>
      <w:r>
        <w:rPr>
          <w:spacing w:val="-7"/>
        </w:rPr>
        <w:t>5000</w:t>
      </w:r>
      <w:r>
        <w:rPr>
          <w:spacing w:val="-25"/>
        </w:rPr>
        <w:t> 余万元。</w:t>
      </w:r>
    </w:p>
    <w:p>
      <w:pPr>
        <w:spacing w:after="0" w:line="362" w:lineRule="auto"/>
        <w:jc w:val="both"/>
        <w:sectPr>
          <w:pgSz w:w="11910" w:h="16840"/>
          <w:pgMar w:header="780" w:footer="1241" w:top="1260" w:bottom="1440" w:left="0" w:right="0"/>
        </w:sectPr>
      </w:pPr>
    </w:p>
    <w:p>
      <w:pPr>
        <w:pStyle w:val="BodyText"/>
        <w:rPr>
          <w:sz w:val="20"/>
        </w:rPr>
      </w:pPr>
    </w:p>
    <w:p>
      <w:pPr>
        <w:pStyle w:val="BodyText"/>
        <w:rPr>
          <w:sz w:val="20"/>
        </w:rPr>
      </w:pPr>
    </w:p>
    <w:p>
      <w:pPr>
        <w:pStyle w:val="BodyText"/>
        <w:spacing w:before="4"/>
        <w:rPr>
          <w:sz w:val="28"/>
        </w:rPr>
      </w:pPr>
    </w:p>
    <w:p>
      <w:pPr>
        <w:pStyle w:val="Heading1"/>
        <w:numPr>
          <w:ilvl w:val="0"/>
          <w:numId w:val="2"/>
        </w:numPr>
        <w:tabs>
          <w:tab w:pos="2397" w:val="left" w:leader="none"/>
          <w:tab w:pos="2398" w:val="left" w:leader="none"/>
        </w:tabs>
        <w:spacing w:line="240" w:lineRule="auto" w:before="70" w:after="0"/>
        <w:ind w:left="2397" w:right="0" w:hanging="421"/>
        <w:jc w:val="left"/>
      </w:pPr>
      <w:bookmarkStart w:name="2  学生发展" w:id="37"/>
      <w:bookmarkEnd w:id="37"/>
      <w:r>
        <w:rPr>
          <w:b w:val="0"/>
        </w:rPr>
      </w:r>
      <w:bookmarkStart w:name="_bookmark12" w:id="38"/>
      <w:bookmarkEnd w:id="38"/>
      <w:r>
        <w:rPr>
          <w:b w:val="0"/>
        </w:rPr>
      </w:r>
      <w:bookmarkStart w:name="_bookmark12" w:id="39"/>
      <w:bookmarkEnd w:id="39"/>
      <w:r>
        <w:rPr/>
        <w:t>学生发展</w:t>
      </w:r>
    </w:p>
    <w:p>
      <w:pPr>
        <w:pStyle w:val="BodyText"/>
        <w:spacing w:before="11"/>
        <w:rPr>
          <w:rFonts w:ascii="黑体"/>
          <w:b/>
          <w:sz w:val="34"/>
        </w:rPr>
      </w:pPr>
    </w:p>
    <w:p>
      <w:pPr>
        <w:pStyle w:val="Heading2"/>
        <w:numPr>
          <w:ilvl w:val="1"/>
          <w:numId w:val="2"/>
        </w:numPr>
        <w:tabs>
          <w:tab w:pos="2500" w:val="left" w:leader="none"/>
          <w:tab w:pos="2501" w:val="left" w:leader="none"/>
        </w:tabs>
        <w:spacing w:line="240" w:lineRule="auto" w:before="0" w:after="0"/>
        <w:ind w:left="2500" w:right="0" w:hanging="603"/>
        <w:jc w:val="left"/>
      </w:pPr>
      <w:bookmarkStart w:name="2.1  思想政治素质" w:id="40"/>
      <w:bookmarkEnd w:id="40"/>
      <w:r>
        <w:rPr>
          <w:b w:val="0"/>
        </w:rPr>
      </w:r>
      <w:bookmarkStart w:name="_bookmark13" w:id="41"/>
      <w:bookmarkEnd w:id="41"/>
      <w:r>
        <w:rPr>
          <w:b w:val="0"/>
        </w:rPr>
      </w:r>
      <w:bookmarkStart w:name="_bookmark13" w:id="42"/>
      <w:bookmarkEnd w:id="42"/>
      <w:r>
        <w:rPr/>
        <w:t>思想政治素质</w:t>
      </w:r>
    </w:p>
    <w:p>
      <w:pPr>
        <w:pStyle w:val="BodyText"/>
        <w:spacing w:before="9"/>
        <w:rPr>
          <w:rFonts w:ascii="黑体"/>
          <w:b/>
        </w:rPr>
      </w:pPr>
    </w:p>
    <w:p>
      <w:pPr>
        <w:pStyle w:val="Heading2"/>
        <w:numPr>
          <w:ilvl w:val="2"/>
          <w:numId w:val="2"/>
        </w:numPr>
        <w:tabs>
          <w:tab w:pos="2743" w:val="left" w:leader="none"/>
          <w:tab w:pos="2744" w:val="left" w:leader="none"/>
        </w:tabs>
        <w:spacing w:line="240" w:lineRule="auto" w:before="0" w:after="0"/>
        <w:ind w:left="2743" w:right="0" w:hanging="846"/>
        <w:jc w:val="left"/>
      </w:pPr>
      <w:bookmarkStart w:name="2.1.1  加强大学生思想政治教育" w:id="43"/>
      <w:bookmarkEnd w:id="43"/>
      <w:r>
        <w:rPr>
          <w:b w:val="0"/>
        </w:rPr>
      </w:r>
      <w:bookmarkStart w:name="_bookmark14" w:id="44"/>
      <w:bookmarkEnd w:id="44"/>
      <w:r>
        <w:rPr>
          <w:b w:val="0"/>
        </w:rPr>
      </w:r>
      <w:bookmarkStart w:name="_bookmark14" w:id="45"/>
      <w:bookmarkEnd w:id="45"/>
      <w:r>
        <w:rPr/>
        <w:t>加强大学生思想政治教育</w:t>
      </w:r>
    </w:p>
    <w:p>
      <w:pPr>
        <w:pStyle w:val="BodyText"/>
        <w:spacing w:before="5"/>
        <w:rPr>
          <w:rFonts w:ascii="黑体"/>
          <w:b/>
          <w:sz w:val="18"/>
        </w:rPr>
      </w:pPr>
    </w:p>
    <w:p>
      <w:pPr>
        <w:pStyle w:val="BodyText"/>
        <w:spacing w:line="364" w:lineRule="auto"/>
        <w:ind w:left="1418" w:right="1293" w:firstLine="480"/>
      </w:pPr>
      <w:r>
        <w:rPr>
          <w:spacing w:val="-9"/>
        </w:rPr>
        <w:t>学院以党的十九大和学校第二次党代会召开为契机，以“建卓越、创优质、争一流” </w:t>
      </w:r>
      <w:r>
        <w:rPr>
          <w:spacing w:val="-13"/>
        </w:rPr>
        <w:t>为抓手，开展系列社会实践、主题活动和特色活动，例如建党建国纪念日、五四青年节、</w:t>
      </w:r>
      <w:r>
        <w:rPr>
          <w:spacing w:val="-4"/>
        </w:rPr>
        <w:t>“学雷锋月”等主题活动，毕业典礼、心理健康活动月、技能节等大型活动，“光盘行</w:t>
      </w:r>
      <w:r>
        <w:rPr>
          <w:spacing w:val="-25"/>
        </w:rPr>
        <w:t>动”、“我爱母校•我为母校代言”、“希望工程一元捐”等特色活动，广泛进行党情国情</w:t>
      </w:r>
      <w:r>
        <w:rPr>
          <w:spacing w:val="-18"/>
        </w:rPr>
        <w:t>世情教育、校史校情校训教育，提高学生的社会责任感、历史使命感，对学校的认同感、</w:t>
      </w:r>
      <w:r>
        <w:rPr>
          <w:spacing w:val="-7"/>
        </w:rPr>
        <w:t>责任感，提升人生境界、锤炼个体品格；举办优秀校友创新创业报告会、校友企业专场</w:t>
      </w:r>
      <w:r>
        <w:rPr>
          <w:spacing w:val="-15"/>
        </w:rPr>
        <w:t>供需见面会，打造校友交流、资源共享平台，发挥校友的榜样作用、现身说法即时效应； </w:t>
      </w:r>
      <w:r>
        <w:rPr>
          <w:spacing w:val="-7"/>
        </w:rPr>
        <w:t>利用学校校园网、官方微博、微信、</w:t>
      </w:r>
      <w:r>
        <w:rPr/>
        <w:t>QQ</w:t>
      </w:r>
      <w:r>
        <w:rPr>
          <w:spacing w:val="-11"/>
        </w:rPr>
        <w:t> 等新媒体进行沟通交流、宣传舆情监控，积极发</w:t>
      </w:r>
      <w:r>
        <w:rPr>
          <w:spacing w:val="-18"/>
        </w:rPr>
        <w:t>挥网络在思想政治工作中的作用，实行领导干部与师生经常性网上对话与交流。两年来， </w:t>
      </w:r>
      <w:r>
        <w:rPr>
          <w:spacing w:val="-4"/>
        </w:rPr>
        <w:t>荣获全国最具影响力体育社团荣誉称号 </w:t>
      </w:r>
      <w:r>
        <w:rPr/>
        <w:t>1</w:t>
      </w:r>
      <w:r>
        <w:rPr>
          <w:spacing w:val="-11"/>
        </w:rPr>
        <w:t> 个、湖南省最受欢迎“十佳百优”学生社团评</w:t>
      </w:r>
      <w:r>
        <w:rPr>
          <w:spacing w:val="-10"/>
        </w:rPr>
        <w:t>选活动的“十佳优秀社团”</w:t>
      </w:r>
      <w:r>
        <w:rPr>
          <w:spacing w:val="-18"/>
        </w:rPr>
        <w:t>1</w:t>
      </w:r>
      <w:r>
        <w:rPr>
          <w:spacing w:val="-20"/>
        </w:rPr>
        <w:t> 个(全省 </w:t>
      </w:r>
      <w:r>
        <w:rPr/>
        <w:t>73</w:t>
      </w:r>
      <w:r>
        <w:rPr>
          <w:spacing w:val="-10"/>
        </w:rPr>
        <w:t> 所高职院校就我校获此殊荣)、湖南省大学生暑</w:t>
      </w:r>
      <w:r>
        <w:rPr>
          <w:spacing w:val="-9"/>
        </w:rPr>
        <w:t>期“三下乡”志愿实践活动优秀团队 </w:t>
      </w:r>
      <w:r>
        <w:rPr/>
        <w:t>1</w:t>
      </w:r>
      <w:r>
        <w:rPr>
          <w:spacing w:val="-10"/>
        </w:rPr>
        <w:t> 个、湖南省大学生暑期“三下乡”志愿实践活动</w:t>
      </w:r>
    </w:p>
    <w:p>
      <w:pPr>
        <w:pStyle w:val="BodyText"/>
        <w:spacing w:line="303" w:lineRule="exact"/>
        <w:ind w:left="1418"/>
      </w:pPr>
      <w:r>
        <w:rPr>
          <w:spacing w:val="-10"/>
        </w:rPr>
        <w:t>先进单位 </w:t>
      </w:r>
      <w:r>
        <w:rPr/>
        <w:t>1</w:t>
      </w:r>
      <w:r>
        <w:rPr>
          <w:spacing w:val="-16"/>
        </w:rPr>
        <w:t> 个、“株洲市五四红旗团总支”荣誉称号 </w:t>
      </w:r>
      <w:r>
        <w:rPr/>
        <w:t>2</w:t>
      </w:r>
      <w:r>
        <w:rPr>
          <w:spacing w:val="-7"/>
        </w:rPr>
        <w:t> 个、共青团株洲市委“优秀共青</w:t>
      </w:r>
    </w:p>
    <w:p>
      <w:pPr>
        <w:pStyle w:val="BodyText"/>
        <w:spacing w:before="158"/>
        <w:ind w:left="1418"/>
      </w:pPr>
      <w:r>
        <w:rPr/>
        <w:t>团干(员)”荣誉称号 3 人。</w:t>
      </w:r>
    </w:p>
    <w:p>
      <w:pPr>
        <w:pStyle w:val="BodyText"/>
        <w:spacing w:before="5"/>
        <w:rPr>
          <w:sz w:val="9"/>
        </w:rPr>
      </w:pPr>
      <w:r>
        <w:rPr/>
        <w:drawing>
          <wp:anchor distT="0" distB="0" distL="0" distR="0" allowOverlap="1" layoutInCell="1" locked="0" behindDoc="0" simplePos="0" relativeHeight="8">
            <wp:simplePos x="0" y="0"/>
            <wp:positionH relativeFrom="page">
              <wp:posOffset>1944623</wp:posOffset>
            </wp:positionH>
            <wp:positionV relativeFrom="paragraph">
              <wp:posOffset>101377</wp:posOffset>
            </wp:positionV>
            <wp:extent cx="3666780" cy="2464308"/>
            <wp:effectExtent l="0" t="0" r="0" b="0"/>
            <wp:wrapTopAndBottom/>
            <wp:docPr id="27" name="image18.jpeg"/>
            <wp:cNvGraphicFramePr>
              <a:graphicFrameLocks noChangeAspect="1"/>
            </wp:cNvGraphicFramePr>
            <a:graphic>
              <a:graphicData uri="http://schemas.openxmlformats.org/drawingml/2006/picture">
                <pic:pic>
                  <pic:nvPicPr>
                    <pic:cNvPr id="28" name="image18.jpeg"/>
                    <pic:cNvPicPr/>
                  </pic:nvPicPr>
                  <pic:blipFill>
                    <a:blip r:embed="rId27" cstate="print"/>
                    <a:stretch>
                      <a:fillRect/>
                    </a:stretch>
                  </pic:blipFill>
                  <pic:spPr>
                    <a:xfrm>
                      <a:off x="0" y="0"/>
                      <a:ext cx="3666780" cy="2464308"/>
                    </a:xfrm>
                    <a:prstGeom prst="rect">
                      <a:avLst/>
                    </a:prstGeom>
                  </pic:spPr>
                </pic:pic>
              </a:graphicData>
            </a:graphic>
          </wp:anchor>
        </w:drawing>
      </w:r>
    </w:p>
    <w:p>
      <w:pPr>
        <w:tabs>
          <w:tab w:pos="811" w:val="left" w:leader="none"/>
        </w:tabs>
        <w:spacing w:before="131"/>
        <w:ind w:left="19" w:right="0" w:firstLine="0"/>
        <w:jc w:val="center"/>
        <w:rPr>
          <w:b/>
          <w:sz w:val="21"/>
        </w:rPr>
      </w:pPr>
      <w:r>
        <w:rPr>
          <w:b/>
          <w:w w:val="99"/>
          <w:sz w:val="21"/>
        </w:rPr>
        <w:t>图</w:t>
      </w:r>
      <w:r>
        <w:rPr>
          <w:b/>
          <w:spacing w:val="-51"/>
          <w:sz w:val="21"/>
        </w:rPr>
        <w:t> </w:t>
      </w:r>
      <w:r>
        <w:rPr>
          <w:b/>
          <w:spacing w:val="1"/>
          <w:w w:val="98"/>
          <w:sz w:val="21"/>
        </w:rPr>
        <w:t>2</w:t>
      </w:r>
      <w:r>
        <w:rPr>
          <w:b/>
          <w:spacing w:val="3"/>
          <w:w w:val="98"/>
          <w:sz w:val="21"/>
        </w:rPr>
        <w:t>-</w:t>
      </w:r>
      <w:r>
        <w:rPr>
          <w:b/>
          <w:w w:val="98"/>
          <w:sz w:val="21"/>
        </w:rPr>
        <w:t>1</w:t>
      </w:r>
      <w:r>
        <w:rPr>
          <w:b/>
          <w:sz w:val="21"/>
        </w:rPr>
        <w:tab/>
      </w:r>
      <w:r>
        <w:rPr>
          <w:b/>
          <w:spacing w:val="2"/>
          <w:w w:val="99"/>
          <w:sz w:val="21"/>
        </w:rPr>
        <w:t>学院举</w:t>
      </w:r>
      <w:r>
        <w:rPr>
          <w:b/>
          <w:spacing w:val="-1"/>
          <w:w w:val="99"/>
          <w:sz w:val="21"/>
        </w:rPr>
        <w:t>行</w:t>
      </w:r>
      <w:r>
        <w:rPr>
          <w:b/>
          <w:spacing w:val="2"/>
          <w:w w:val="99"/>
          <w:sz w:val="21"/>
        </w:rPr>
        <w:t>“天天见</w:t>
      </w:r>
      <w:r>
        <w:rPr>
          <w:b/>
          <w:spacing w:val="-106"/>
          <w:w w:val="99"/>
          <w:sz w:val="21"/>
        </w:rPr>
        <w:t>”</w:t>
      </w:r>
      <w:r>
        <w:rPr>
          <w:b/>
          <w:spacing w:val="2"/>
          <w:w w:val="99"/>
          <w:sz w:val="21"/>
        </w:rPr>
        <w:t>“天天新</w:t>
      </w:r>
      <w:r>
        <w:rPr>
          <w:b/>
          <w:spacing w:val="-104"/>
          <w:w w:val="99"/>
          <w:sz w:val="21"/>
        </w:rPr>
        <w:t>”</w:t>
      </w:r>
      <w:r>
        <w:rPr>
          <w:b/>
          <w:spacing w:val="2"/>
          <w:w w:val="99"/>
          <w:sz w:val="21"/>
        </w:rPr>
        <w:t>“天天</w:t>
      </w:r>
      <w:r>
        <w:rPr>
          <w:b/>
          <w:spacing w:val="-1"/>
          <w:w w:val="99"/>
          <w:sz w:val="21"/>
        </w:rPr>
        <w:t>深</w:t>
      </w:r>
      <w:r>
        <w:rPr>
          <w:b/>
          <w:spacing w:val="2"/>
          <w:w w:val="99"/>
          <w:sz w:val="21"/>
        </w:rPr>
        <w:t>”主题演</w:t>
      </w:r>
      <w:r>
        <w:rPr>
          <w:b/>
          <w:spacing w:val="-1"/>
          <w:w w:val="99"/>
          <w:sz w:val="21"/>
        </w:rPr>
        <w:t>讲</w:t>
      </w:r>
      <w:r>
        <w:rPr>
          <w:b/>
          <w:spacing w:val="2"/>
          <w:w w:val="99"/>
          <w:sz w:val="21"/>
        </w:rPr>
        <w:t>比</w:t>
      </w:r>
      <w:r>
        <w:rPr>
          <w:b/>
          <w:w w:val="99"/>
          <w:sz w:val="21"/>
        </w:rPr>
        <w:t>赛</w:t>
      </w:r>
    </w:p>
    <w:p>
      <w:pPr>
        <w:spacing w:after="0"/>
        <w:jc w:val="center"/>
        <w:rPr>
          <w:sz w:val="21"/>
        </w:rPr>
        <w:sectPr>
          <w:pgSz w:w="11910" w:h="16840"/>
          <w:pgMar w:header="780" w:footer="1241" w:top="1260" w:bottom="1440" w:left="0" w:right="0"/>
        </w:sectPr>
      </w:pPr>
    </w:p>
    <w:p>
      <w:pPr>
        <w:pStyle w:val="Heading2"/>
        <w:spacing w:before="141"/>
        <w:ind w:left="1898" w:firstLine="0"/>
      </w:pPr>
      <w:bookmarkStart w:name="【典型案例1】创新党性教育形式 提升学生党员素质" w:id="46"/>
      <w:bookmarkEnd w:id="46"/>
      <w:r>
        <w:rPr>
          <w:b w:val="0"/>
        </w:rPr>
      </w:r>
      <w:bookmarkStart w:name="_bookmark15" w:id="47"/>
      <w:bookmarkEnd w:id="47"/>
      <w:r>
        <w:rPr>
          <w:b w:val="0"/>
        </w:rPr>
      </w:r>
      <w:r>
        <w:rPr/>
        <w:t>【典型案例 1】创新党性教育形式 提升学生党员素质</w:t>
      </w:r>
    </w:p>
    <w:p>
      <w:pPr>
        <w:pStyle w:val="BodyText"/>
        <w:spacing w:before="6"/>
        <w:rPr>
          <w:rFonts w:ascii="黑体"/>
          <w:b/>
          <w:sz w:val="18"/>
        </w:rPr>
      </w:pPr>
    </w:p>
    <w:p>
      <w:pPr>
        <w:pStyle w:val="BodyText"/>
        <w:spacing w:line="364" w:lineRule="auto"/>
        <w:ind w:left="1418" w:right="1411" w:firstLine="480"/>
        <w:jc w:val="both"/>
      </w:pPr>
      <w:r>
        <w:rPr/>
        <w:drawing>
          <wp:anchor distT="0" distB="0" distL="0" distR="0" allowOverlap="1" layoutInCell="1" locked="0" behindDoc="0" simplePos="0" relativeHeight="9">
            <wp:simplePos x="0" y="0"/>
            <wp:positionH relativeFrom="page">
              <wp:posOffset>1386839</wp:posOffset>
            </wp:positionH>
            <wp:positionV relativeFrom="paragraph">
              <wp:posOffset>2440825</wp:posOffset>
            </wp:positionV>
            <wp:extent cx="4759740" cy="2628900"/>
            <wp:effectExtent l="0" t="0" r="0" b="0"/>
            <wp:wrapTopAndBottom/>
            <wp:docPr id="29" name="image19.jpeg"/>
            <wp:cNvGraphicFramePr>
              <a:graphicFrameLocks noChangeAspect="1"/>
            </wp:cNvGraphicFramePr>
            <a:graphic>
              <a:graphicData uri="http://schemas.openxmlformats.org/drawingml/2006/picture">
                <pic:pic>
                  <pic:nvPicPr>
                    <pic:cNvPr id="30" name="image19.jpeg"/>
                    <pic:cNvPicPr/>
                  </pic:nvPicPr>
                  <pic:blipFill>
                    <a:blip r:embed="rId28" cstate="print"/>
                    <a:stretch>
                      <a:fillRect/>
                    </a:stretch>
                  </pic:blipFill>
                  <pic:spPr>
                    <a:xfrm>
                      <a:off x="0" y="0"/>
                      <a:ext cx="4759740" cy="2628900"/>
                    </a:xfrm>
                    <a:prstGeom prst="rect">
                      <a:avLst/>
                    </a:prstGeom>
                  </pic:spPr>
                </pic:pic>
              </a:graphicData>
            </a:graphic>
          </wp:anchor>
        </w:drawing>
      </w:r>
      <w:r>
        <w:rPr>
          <w:spacing w:val="-5"/>
        </w:rPr>
        <w:t>学院党校切合高职学生的成长规律，按照“分层教学、全员覆盖”的目标对教育培</w:t>
      </w:r>
      <w:r>
        <w:rPr>
          <w:spacing w:val="-6"/>
        </w:rPr>
        <w:t>训进行了全程设计，在把握主体共性教育内容的同时，针对党员干部、预备党员、发展</w:t>
      </w:r>
      <w:r>
        <w:rPr>
          <w:spacing w:val="-8"/>
        </w:rPr>
        <w:t>对象、入党积极分子等不同对象，建构了分级分类的教育培训体系，建立了“理论知识</w:t>
      </w:r>
      <w:r>
        <w:rPr>
          <w:spacing w:val="-7"/>
        </w:rPr>
        <w:t>基础化、课堂教学模块化、实践教学多样化”三维一体的课程体系，实现了党校教育培</w:t>
      </w:r>
      <w:r>
        <w:rPr>
          <w:spacing w:val="-11"/>
        </w:rPr>
        <w:t>训工作的全面性和针对性。其中，如何让广大学生把党的理想信念、方针政策、奋斗目</w:t>
      </w:r>
      <w:r>
        <w:rPr>
          <w:spacing w:val="-8"/>
        </w:rPr>
        <w:t>标等在学习、生活、工作等群体性实践活动中，感知、传递、践行、升华，是我院党校</w:t>
      </w:r>
      <w:r>
        <w:rPr>
          <w:spacing w:val="-5"/>
        </w:rPr>
        <w:t>教育模式改革和创新的重点。党校紧抓时事热点，精心策划，认真组织，主题活动多次</w:t>
      </w:r>
      <w:r>
        <w:rPr/>
        <w:t>在湖南省高校党校教育研究会上受上级高度肯定。</w:t>
      </w:r>
    </w:p>
    <w:p>
      <w:pPr>
        <w:tabs>
          <w:tab w:pos="789" w:val="left" w:leader="none"/>
        </w:tabs>
        <w:spacing w:before="110"/>
        <w:ind w:left="0" w:right="21" w:firstLine="0"/>
        <w:jc w:val="center"/>
        <w:rPr>
          <w:b/>
          <w:sz w:val="21"/>
        </w:rPr>
      </w:pPr>
      <w:r>
        <w:rPr>
          <w:b/>
          <w:sz w:val="21"/>
        </w:rPr>
        <w:t>图</w:t>
      </w:r>
      <w:r>
        <w:rPr>
          <w:b/>
          <w:spacing w:val="-55"/>
          <w:sz w:val="21"/>
        </w:rPr>
        <w:t> </w:t>
      </w:r>
      <w:r>
        <w:rPr>
          <w:b/>
          <w:sz w:val="21"/>
        </w:rPr>
        <w:t>2-2</w:t>
        <w:tab/>
        <w:t>学院预备党员在韶山进行党性锻炼现场教学</w:t>
      </w:r>
    </w:p>
    <w:p>
      <w:pPr>
        <w:pStyle w:val="Heading2"/>
        <w:numPr>
          <w:ilvl w:val="2"/>
          <w:numId w:val="2"/>
        </w:numPr>
        <w:tabs>
          <w:tab w:pos="2743" w:val="left" w:leader="none"/>
          <w:tab w:pos="2744" w:val="left" w:leader="none"/>
        </w:tabs>
        <w:spacing w:line="240" w:lineRule="auto" w:before="101" w:after="0"/>
        <w:ind w:left="2743" w:right="0" w:hanging="846"/>
        <w:jc w:val="left"/>
      </w:pPr>
      <w:bookmarkStart w:name="2.1.2  加强校园文化建设，营造学生成长成才的和谐环境" w:id="48"/>
      <w:bookmarkEnd w:id="48"/>
      <w:r>
        <w:rPr>
          <w:b w:val="0"/>
        </w:rPr>
      </w:r>
      <w:bookmarkStart w:name="_bookmark16" w:id="49"/>
      <w:bookmarkEnd w:id="49"/>
      <w:r>
        <w:rPr>
          <w:b w:val="0"/>
        </w:rPr>
      </w:r>
      <w:bookmarkStart w:name="_bookmark16" w:id="50"/>
      <w:bookmarkEnd w:id="50"/>
      <w:r>
        <w:rPr/>
        <w:t>加强校园文化建设，营造学生成长成才的和谐环境</w:t>
      </w:r>
    </w:p>
    <w:p>
      <w:pPr>
        <w:pStyle w:val="BodyText"/>
        <w:spacing w:before="7"/>
        <w:rPr>
          <w:rFonts w:ascii="黑体"/>
          <w:b/>
          <w:sz w:val="18"/>
        </w:rPr>
      </w:pPr>
    </w:p>
    <w:p>
      <w:pPr>
        <w:pStyle w:val="BodyText"/>
        <w:spacing w:line="364" w:lineRule="auto"/>
        <w:ind w:left="1418" w:right="1297" w:firstLine="480"/>
      </w:pPr>
      <w:r>
        <w:rPr>
          <w:spacing w:val="-3"/>
        </w:rPr>
        <w:t>理念与文化是学校可持续发展的核心。学校大力开展核心价值观大讨论，不断增强</w:t>
      </w:r>
      <w:r>
        <w:rPr>
          <w:spacing w:val="-8"/>
        </w:rPr>
        <w:t>发展意识、团结意识、学习意识、创新意识、规则意识、开放意识、竞争意识、规矩意</w:t>
      </w:r>
      <w:r>
        <w:rPr>
          <w:spacing w:val="-19"/>
        </w:rPr>
        <w:t>识和责任意识等办学“十种意识”，不断形成团结爱校、宽容关爱的优良“家文化”。以 </w:t>
      </w:r>
      <w:r>
        <w:rPr>
          <w:spacing w:val="-11"/>
        </w:rPr>
        <w:t>“思想文明、举止文明、就餐文明、课堂文明、宿舍文明、生态文明”为主要内容，以</w:t>
      </w:r>
      <w:r>
        <w:rPr>
          <w:spacing w:val="-18"/>
        </w:rPr>
        <w:t>形式多样的活动与实践为载体，全面加强大学生自我管理，全面推动社团活动百花齐放。</w:t>
      </w:r>
      <w:r>
        <w:rPr>
          <w:spacing w:val="-4"/>
        </w:rPr>
        <w:t>把习近平系列重要讲话、社会主义核心价值观、中国传统文化、学校优良传统等浓缩固</w:t>
      </w:r>
      <w:r>
        <w:rPr>
          <w:spacing w:val="-8"/>
        </w:rPr>
        <w:t>化，以标语、路牌、展板、宣传栏、校史展、成果展等形式展示出来，在宿舍悬挂文明公约、管理制度、文明用语，充分发挥文化育人作用。</w:t>
      </w:r>
    </w:p>
    <w:p>
      <w:pPr>
        <w:spacing w:after="0" w:line="364" w:lineRule="auto"/>
        <w:sectPr>
          <w:pgSz w:w="11910" w:h="16840"/>
          <w:pgMar w:header="780" w:footer="1241" w:top="1260" w:bottom="1440" w:left="0" w:right="0"/>
        </w:sectPr>
      </w:pPr>
    </w:p>
    <w:p>
      <w:pPr>
        <w:pStyle w:val="BodyText"/>
        <w:spacing w:before="11" w:after="1"/>
        <w:rPr>
          <w:sz w:val="10"/>
        </w:rPr>
      </w:pPr>
    </w:p>
    <w:p>
      <w:pPr>
        <w:pStyle w:val="BodyText"/>
        <w:ind w:left="2476"/>
        <w:rPr>
          <w:sz w:val="20"/>
        </w:rPr>
      </w:pPr>
      <w:r>
        <w:rPr>
          <w:sz w:val="20"/>
        </w:rPr>
        <w:drawing>
          <wp:inline distT="0" distB="0" distL="0" distR="0">
            <wp:extent cx="4428854" cy="2135695"/>
            <wp:effectExtent l="0" t="0" r="0" b="0"/>
            <wp:docPr id="31" name="image20.png"/>
            <wp:cNvGraphicFramePr>
              <a:graphicFrameLocks noChangeAspect="1"/>
            </wp:cNvGraphicFramePr>
            <a:graphic>
              <a:graphicData uri="http://schemas.openxmlformats.org/drawingml/2006/picture">
                <pic:pic>
                  <pic:nvPicPr>
                    <pic:cNvPr id="32" name="image20.png"/>
                    <pic:cNvPicPr/>
                  </pic:nvPicPr>
                  <pic:blipFill>
                    <a:blip r:embed="rId30" cstate="print"/>
                    <a:stretch>
                      <a:fillRect/>
                    </a:stretch>
                  </pic:blipFill>
                  <pic:spPr>
                    <a:xfrm>
                      <a:off x="0" y="0"/>
                      <a:ext cx="4428854" cy="2135695"/>
                    </a:xfrm>
                    <a:prstGeom prst="rect">
                      <a:avLst/>
                    </a:prstGeom>
                  </pic:spPr>
                </pic:pic>
              </a:graphicData>
            </a:graphic>
          </wp:inline>
        </w:drawing>
      </w:r>
      <w:r>
        <w:rPr>
          <w:sz w:val="20"/>
        </w:rPr>
      </w:r>
    </w:p>
    <w:p>
      <w:pPr>
        <w:pStyle w:val="BodyText"/>
        <w:spacing w:before="10"/>
        <w:rPr>
          <w:sz w:val="5"/>
        </w:rPr>
      </w:pPr>
    </w:p>
    <w:p>
      <w:pPr>
        <w:tabs>
          <w:tab w:pos="809" w:val="left" w:leader="none"/>
        </w:tabs>
        <w:spacing w:before="70"/>
        <w:ind w:left="17" w:right="0" w:firstLine="0"/>
        <w:jc w:val="center"/>
        <w:rPr>
          <w:b/>
          <w:sz w:val="21"/>
        </w:rPr>
      </w:pPr>
      <w:r>
        <w:rPr>
          <w:b/>
          <w:sz w:val="21"/>
        </w:rPr>
        <w:t>图</w:t>
      </w:r>
      <w:r>
        <w:rPr>
          <w:b/>
          <w:spacing w:val="-52"/>
          <w:sz w:val="21"/>
        </w:rPr>
        <w:t> </w:t>
      </w:r>
      <w:r>
        <w:rPr>
          <w:b/>
          <w:sz w:val="21"/>
        </w:rPr>
        <w:t>2-3</w:t>
        <w:tab/>
        <w:t>学院举办“逐梦青春</w:t>
      </w:r>
      <w:r>
        <w:rPr>
          <w:b/>
          <w:spacing w:val="2"/>
          <w:sz w:val="21"/>
        </w:rPr>
        <w:t> </w:t>
      </w:r>
      <w:r>
        <w:rPr>
          <w:b/>
          <w:sz w:val="21"/>
        </w:rPr>
        <w:t>扬帆再启航”学生文艺晚会</w:t>
      </w:r>
    </w:p>
    <w:p>
      <w:pPr>
        <w:pStyle w:val="BodyText"/>
        <w:spacing w:before="12"/>
        <w:rPr>
          <w:b/>
          <w:sz w:val="16"/>
        </w:rPr>
      </w:pPr>
    </w:p>
    <w:p>
      <w:pPr>
        <w:pStyle w:val="Heading2"/>
        <w:ind w:left="1898" w:firstLine="0"/>
        <w:jc w:val="both"/>
      </w:pPr>
      <w:bookmarkStart w:name="【典型案例2】捐献骨髓挽救3岁女孩，湖南化院学子给自己一份特别的“成人礼”" w:id="51"/>
      <w:bookmarkEnd w:id="51"/>
      <w:r>
        <w:rPr>
          <w:b w:val="0"/>
        </w:rPr>
      </w:r>
      <w:bookmarkStart w:name="_bookmark17" w:id="52"/>
      <w:bookmarkEnd w:id="52"/>
      <w:r>
        <w:rPr>
          <w:b w:val="0"/>
        </w:rPr>
      </w:r>
      <w:r>
        <w:rPr/>
        <w:t>【典型案例 2】捐献骨髓挽救 3 岁女孩，湖南化院学子给自己一份特别的“成人礼”</w:t>
      </w:r>
    </w:p>
    <w:p>
      <w:pPr>
        <w:pStyle w:val="BodyText"/>
        <w:spacing w:before="7"/>
        <w:rPr>
          <w:rFonts w:ascii="黑体"/>
          <w:b/>
          <w:sz w:val="18"/>
        </w:rPr>
      </w:pPr>
    </w:p>
    <w:p>
      <w:pPr>
        <w:pStyle w:val="BodyText"/>
        <w:ind w:left="1898"/>
        <w:jc w:val="both"/>
      </w:pPr>
      <w:r>
        <w:rPr/>
        <w:t>2018</w:t>
      </w:r>
      <w:r>
        <w:rPr>
          <w:spacing w:val="-7"/>
        </w:rPr>
        <w:t> 年的春天来得比较晚，但湖南化工职院学生李超的举动暖人心。</w:t>
      </w:r>
      <w:r>
        <w:rPr/>
        <w:t>1</w:t>
      </w:r>
      <w:r>
        <w:rPr>
          <w:spacing w:val="-31"/>
        </w:rPr>
        <w:t> 月 </w:t>
      </w:r>
      <w:r>
        <w:rPr/>
        <w:t>23</w:t>
      </w:r>
      <w:r>
        <w:rPr>
          <w:spacing w:val="-16"/>
        </w:rPr>
        <w:t> 日中</w:t>
      </w:r>
    </w:p>
    <w:p>
      <w:pPr>
        <w:pStyle w:val="BodyText"/>
        <w:spacing w:before="160"/>
        <w:ind w:left="1418"/>
        <w:jc w:val="both"/>
      </w:pPr>
      <w:r>
        <w:rPr>
          <w:spacing w:val="-11"/>
        </w:rPr>
        <w:t>午，为挽救一位远在北京的 </w:t>
      </w:r>
      <w:r>
        <w:rPr/>
        <w:t>3</w:t>
      </w:r>
      <w:r>
        <w:rPr>
          <w:spacing w:val="-14"/>
        </w:rPr>
        <w:t> 岁白血病女孩，经过 </w:t>
      </w:r>
      <w:r>
        <w:rPr/>
        <w:t>4</w:t>
      </w:r>
      <w:r>
        <w:rPr>
          <w:spacing w:val="-16"/>
        </w:rPr>
        <w:t> 天的动员针和 </w:t>
      </w:r>
      <w:r>
        <w:rPr/>
        <w:t>5</w:t>
      </w:r>
      <w:r>
        <w:rPr>
          <w:spacing w:val="-8"/>
        </w:rPr>
        <w:t> 个多小时的循环采</w:t>
      </w:r>
    </w:p>
    <w:p>
      <w:pPr>
        <w:pStyle w:val="BodyText"/>
        <w:spacing w:line="364" w:lineRule="auto" w:before="158"/>
        <w:ind w:left="1418" w:right="1417"/>
        <w:jc w:val="both"/>
      </w:pPr>
      <w:r>
        <w:rPr>
          <w:spacing w:val="-8"/>
        </w:rPr>
        <w:t>血，在湘雅附三医院的病房，随着离心机的运转，李超血液里 </w:t>
      </w:r>
      <w:r>
        <w:rPr/>
        <w:t>200</w:t>
      </w:r>
      <w:r>
        <w:rPr>
          <w:spacing w:val="-9"/>
        </w:rPr>
        <w:t> 多毫升的造血干细胞</w:t>
      </w:r>
      <w:r>
        <w:rPr>
          <w:spacing w:val="-6"/>
        </w:rPr>
        <w:t>被成功分离出来。当天下午，采集到的造血干细胞由专人运走，飞往北京，输注到患者</w:t>
      </w:r>
      <w:r>
        <w:rPr/>
        <w:t>体内。</w:t>
      </w:r>
    </w:p>
    <w:p>
      <w:pPr>
        <w:pStyle w:val="BodyText"/>
        <w:spacing w:line="307" w:lineRule="exact"/>
        <w:ind w:left="1898"/>
        <w:jc w:val="both"/>
      </w:pPr>
      <w:r>
        <w:rPr>
          <w:spacing w:val="-2"/>
        </w:rPr>
        <w:t>李超是湖南化工职院工业设计专业 </w:t>
      </w:r>
      <w:r>
        <w:rPr/>
        <w:t>1612</w:t>
      </w:r>
      <w:r>
        <w:rPr>
          <w:spacing w:val="-6"/>
        </w:rPr>
        <w:t> 班在校生，同时也是校学生会副主席，非</w:t>
      </w:r>
    </w:p>
    <w:p>
      <w:pPr>
        <w:pStyle w:val="BodyText"/>
        <w:spacing w:before="161"/>
        <w:ind w:left="1418"/>
        <w:jc w:val="both"/>
      </w:pPr>
      <w:r>
        <w:rPr>
          <w:spacing w:val="-4"/>
        </w:rPr>
        <w:t>常热心公益。从 </w:t>
      </w:r>
      <w:r>
        <w:rPr/>
        <w:t>2016</w:t>
      </w:r>
      <w:r>
        <w:rPr>
          <w:spacing w:val="-6"/>
        </w:rPr>
        <w:t> 年开始义务献血，他的信息也随之进入中国造血干细胞捐献者资</w:t>
      </w:r>
    </w:p>
    <w:p>
      <w:pPr>
        <w:pStyle w:val="BodyText"/>
        <w:spacing w:line="364" w:lineRule="auto" w:before="158"/>
        <w:ind w:left="1418" w:right="1416"/>
        <w:jc w:val="both"/>
      </w:pPr>
      <w:r>
        <w:rPr/>
        <w:t>料库。2017</w:t>
      </w:r>
      <w:r>
        <w:rPr>
          <w:spacing w:val="-40"/>
        </w:rPr>
        <w:t> 年 </w:t>
      </w:r>
      <w:r>
        <w:rPr/>
        <w:t>12</w:t>
      </w:r>
      <w:r>
        <w:rPr>
          <w:spacing w:val="-40"/>
        </w:rPr>
        <w:t> 月 </w:t>
      </w:r>
      <w:r>
        <w:rPr/>
        <w:t>7</w:t>
      </w:r>
      <w:r>
        <w:rPr>
          <w:spacing w:val="-9"/>
        </w:rPr>
        <w:t> 日，李超与北京一位患白血病的小女孩配型成功，他毫不犹豫地</w:t>
      </w:r>
      <w:r>
        <w:rPr/>
        <w:t>同意捐赠自己的造血干细胞。</w:t>
      </w:r>
    </w:p>
    <w:p>
      <w:pPr>
        <w:pStyle w:val="BodyText"/>
        <w:spacing w:line="364" w:lineRule="auto"/>
        <w:ind w:left="1418" w:right="1417" w:firstLine="480"/>
        <w:jc w:val="both"/>
      </w:pPr>
      <w:r>
        <w:rPr/>
        <w:drawing>
          <wp:anchor distT="0" distB="0" distL="0" distR="0" allowOverlap="1" layoutInCell="1" locked="0" behindDoc="0" simplePos="0" relativeHeight="10">
            <wp:simplePos x="0" y="0"/>
            <wp:positionH relativeFrom="page">
              <wp:posOffset>2148839</wp:posOffset>
            </wp:positionH>
            <wp:positionV relativeFrom="paragraph">
              <wp:posOffset>967117</wp:posOffset>
            </wp:positionV>
            <wp:extent cx="3261516" cy="1835658"/>
            <wp:effectExtent l="0" t="0" r="0" b="0"/>
            <wp:wrapTopAndBottom/>
            <wp:docPr id="33" name="image21.jpeg"/>
            <wp:cNvGraphicFramePr>
              <a:graphicFrameLocks noChangeAspect="1"/>
            </wp:cNvGraphicFramePr>
            <a:graphic>
              <a:graphicData uri="http://schemas.openxmlformats.org/drawingml/2006/picture">
                <pic:pic>
                  <pic:nvPicPr>
                    <pic:cNvPr id="34" name="image21.jpeg"/>
                    <pic:cNvPicPr/>
                  </pic:nvPicPr>
                  <pic:blipFill>
                    <a:blip r:embed="rId31" cstate="print"/>
                    <a:stretch>
                      <a:fillRect/>
                    </a:stretch>
                  </pic:blipFill>
                  <pic:spPr>
                    <a:xfrm>
                      <a:off x="0" y="0"/>
                      <a:ext cx="3261516" cy="1835658"/>
                    </a:xfrm>
                    <a:prstGeom prst="rect">
                      <a:avLst/>
                    </a:prstGeom>
                  </pic:spPr>
                </pic:pic>
              </a:graphicData>
            </a:graphic>
          </wp:anchor>
        </w:drawing>
      </w:r>
      <w:r>
        <w:rPr>
          <w:spacing w:val="-7"/>
        </w:rPr>
        <w:t>“我从一名捐献者成为了一名志愿者。”李超加入了湖南分库造血干细胞之家，今</w:t>
      </w:r>
      <w:r>
        <w:rPr>
          <w:spacing w:val="-10"/>
        </w:rPr>
        <w:t>后他还会积极参加与捐献造血干细胞相关的号召、宣传和送髓活动。从株洲到长沙再到</w:t>
      </w:r>
      <w:r>
        <w:rPr/>
        <w:t>北京，李超完成了一场生命的爱心接力，他的爱心之路还在继续。</w:t>
      </w:r>
    </w:p>
    <w:p>
      <w:pPr>
        <w:tabs>
          <w:tab w:pos="809" w:val="left" w:leader="none"/>
        </w:tabs>
        <w:spacing w:before="77"/>
        <w:ind w:left="17" w:right="0" w:firstLine="0"/>
        <w:jc w:val="center"/>
        <w:rPr>
          <w:b/>
          <w:sz w:val="21"/>
        </w:rPr>
      </w:pPr>
      <w:r>
        <w:rPr>
          <w:b/>
          <w:sz w:val="21"/>
        </w:rPr>
        <w:t>图</w:t>
      </w:r>
      <w:r>
        <w:rPr>
          <w:b/>
          <w:spacing w:val="-52"/>
          <w:sz w:val="21"/>
        </w:rPr>
        <w:t> </w:t>
      </w:r>
      <w:r>
        <w:rPr>
          <w:b/>
          <w:sz w:val="21"/>
        </w:rPr>
        <w:t>2-4</w:t>
        <w:tab/>
      </w:r>
      <w:r>
        <w:rPr>
          <w:b/>
          <w:w w:val="95"/>
          <w:sz w:val="21"/>
        </w:rPr>
        <w:t>学校领导看望完成造血干细胞捐献的李超同学</w:t>
      </w:r>
    </w:p>
    <w:p>
      <w:pPr>
        <w:spacing w:after="0"/>
        <w:jc w:val="center"/>
        <w:rPr>
          <w:sz w:val="21"/>
        </w:rPr>
        <w:sectPr>
          <w:footerReference w:type="default" r:id="rId29"/>
          <w:pgSz w:w="11910" w:h="16840"/>
          <w:pgMar w:footer="1241" w:header="780" w:top="1260" w:bottom="1440" w:left="0" w:right="0"/>
          <w:pgNumType w:start="10"/>
        </w:sectPr>
      </w:pPr>
    </w:p>
    <w:p>
      <w:pPr>
        <w:pStyle w:val="Heading2"/>
        <w:spacing w:before="141"/>
        <w:ind w:left="304" w:right="42" w:firstLine="0"/>
        <w:jc w:val="center"/>
      </w:pPr>
      <w:bookmarkStart w:name="【典型案例3】践行“1＋3”志愿者实践育人体项目牵手株洲“致公·宝利班”" w:id="53"/>
      <w:bookmarkEnd w:id="53"/>
      <w:r>
        <w:rPr>
          <w:b w:val="0"/>
        </w:rPr>
      </w:r>
      <w:bookmarkStart w:name="_bookmark18" w:id="54"/>
      <w:bookmarkEnd w:id="54"/>
      <w:r>
        <w:rPr>
          <w:b w:val="0"/>
        </w:rPr>
      </w:r>
      <w:r>
        <w:rPr/>
        <w:t>【典型案例 3】践行“1＋3”志愿者实践育人体项目牵手株洲“致公·宝利班”</w:t>
      </w:r>
    </w:p>
    <w:p>
      <w:pPr>
        <w:pStyle w:val="BodyText"/>
        <w:spacing w:before="6"/>
        <w:rPr>
          <w:rFonts w:ascii="黑体"/>
          <w:b/>
          <w:sz w:val="18"/>
        </w:rPr>
      </w:pPr>
    </w:p>
    <w:p>
      <w:pPr>
        <w:pStyle w:val="BodyText"/>
        <w:tabs>
          <w:tab w:pos="9057" w:val="left" w:leader="hyphen"/>
        </w:tabs>
        <w:spacing w:line="364" w:lineRule="auto"/>
        <w:ind w:left="1418" w:right="1297" w:firstLine="480"/>
      </w:pPr>
      <w:r>
        <w:rPr/>
        <w:drawing>
          <wp:anchor distT="0" distB="0" distL="0" distR="0" allowOverlap="1" layoutInCell="1" locked="0" behindDoc="0" simplePos="0" relativeHeight="11">
            <wp:simplePos x="0" y="0"/>
            <wp:positionH relativeFrom="page">
              <wp:posOffset>1979676</wp:posOffset>
            </wp:positionH>
            <wp:positionV relativeFrom="paragraph">
              <wp:posOffset>3327793</wp:posOffset>
            </wp:positionV>
            <wp:extent cx="3567100" cy="2236660"/>
            <wp:effectExtent l="0" t="0" r="0" b="0"/>
            <wp:wrapTopAndBottom/>
            <wp:docPr id="35" name="image22.jpeg"/>
            <wp:cNvGraphicFramePr>
              <a:graphicFrameLocks noChangeAspect="1"/>
            </wp:cNvGraphicFramePr>
            <a:graphic>
              <a:graphicData uri="http://schemas.openxmlformats.org/drawingml/2006/picture">
                <pic:pic>
                  <pic:nvPicPr>
                    <pic:cNvPr id="36" name="image22.jpeg"/>
                    <pic:cNvPicPr/>
                  </pic:nvPicPr>
                  <pic:blipFill>
                    <a:blip r:embed="rId32" cstate="print"/>
                    <a:stretch>
                      <a:fillRect/>
                    </a:stretch>
                  </pic:blipFill>
                  <pic:spPr>
                    <a:xfrm>
                      <a:off x="0" y="0"/>
                      <a:ext cx="3567100" cy="2236660"/>
                    </a:xfrm>
                    <a:prstGeom prst="rect">
                      <a:avLst/>
                    </a:prstGeom>
                  </pic:spPr>
                </pic:pic>
              </a:graphicData>
            </a:graphic>
          </wp:anchor>
        </w:drawing>
      </w:r>
      <w:r>
        <w:rPr>
          <w:color w:val="3366FF"/>
        </w:rPr>
        <w:t>传雷锋之意</w:t>
      </w:r>
      <w:r>
        <w:rPr>
          <w:color w:val="3366FF"/>
          <w:spacing w:val="-10"/>
        </w:rPr>
        <w:t>，</w:t>
      </w:r>
      <w:r>
        <w:rPr>
          <w:color w:val="3366FF"/>
        </w:rPr>
        <w:t>送春风之行</w:t>
      </w:r>
      <w:r>
        <w:rPr>
          <w:color w:val="3366FF"/>
          <w:spacing w:val="-12"/>
        </w:rPr>
        <w:t>，</w:t>
      </w:r>
      <w:r>
        <w:rPr>
          <w:color w:val="3366FF"/>
        </w:rPr>
        <w:t>践</w:t>
      </w:r>
      <w:r>
        <w:rPr>
          <w:color w:val="3366FF"/>
          <w:spacing w:val="-10"/>
        </w:rPr>
        <w:t>行</w:t>
      </w:r>
      <w:r>
        <w:rPr>
          <w:color w:val="3366FF"/>
        </w:rPr>
        <w:t>“1＋3”志愿者实践育人体项目</w:t>
        <w:tab/>
        <w:t>牵手株</w:t>
      </w:r>
      <w:r>
        <w:rPr>
          <w:color w:val="3366FF"/>
          <w:spacing w:val="-10"/>
        </w:rPr>
        <w:t>洲</w:t>
      </w:r>
      <w:r>
        <w:rPr>
          <w:color w:val="3366FF"/>
        </w:rPr>
        <w:t>“致公·宝利班</w:t>
      </w:r>
      <w:r>
        <w:rPr>
          <w:color w:val="3366FF"/>
          <w:spacing w:val="-120"/>
        </w:rPr>
        <w:t>”</w:t>
      </w:r>
      <w:r>
        <w:rPr>
          <w:color w:val="3366FF"/>
        </w:rPr>
        <w:t>，4</w:t>
      </w:r>
      <w:r>
        <w:rPr>
          <w:color w:val="3366FF"/>
          <w:spacing w:val="-60"/>
        </w:rPr>
        <w:t> </w:t>
      </w:r>
      <w:r>
        <w:rPr>
          <w:color w:val="3366FF"/>
        </w:rPr>
        <w:t>月</w:t>
      </w:r>
      <w:r>
        <w:rPr>
          <w:color w:val="3366FF"/>
          <w:spacing w:val="-60"/>
        </w:rPr>
        <w:t> </w:t>
      </w:r>
      <w:r>
        <w:rPr>
          <w:color w:val="3366FF"/>
        </w:rPr>
        <w:t>16</w:t>
      </w:r>
      <w:r>
        <w:rPr>
          <w:color w:val="3366FF"/>
          <w:spacing w:val="-60"/>
        </w:rPr>
        <w:t> </w:t>
      </w:r>
      <w:r>
        <w:rPr>
          <w:color w:val="3366FF"/>
        </w:rPr>
        <w:t>日湖南化工职业技术学院团委青年志愿者联合会、组宣部、社团联合会</w:t>
      </w:r>
      <w:r>
        <w:rPr>
          <w:color w:val="3366FF"/>
          <w:spacing w:val="-10"/>
        </w:rPr>
        <w:t>、</w:t>
      </w:r>
      <w:r>
        <w:rPr>
          <w:color w:val="3366FF"/>
        </w:rPr>
        <w:t>商学院爱心协会主要负责人唐嘉宝</w:t>
      </w:r>
      <w:r>
        <w:rPr>
          <w:color w:val="3366FF"/>
          <w:spacing w:val="-8"/>
        </w:rPr>
        <w:t>、</w:t>
      </w:r>
      <w:r>
        <w:rPr>
          <w:color w:val="3366FF"/>
        </w:rPr>
        <w:t>覃芳胜</w:t>
      </w:r>
      <w:r>
        <w:rPr>
          <w:color w:val="3366FF"/>
          <w:spacing w:val="-10"/>
        </w:rPr>
        <w:t>、</w:t>
      </w:r>
      <w:r>
        <w:rPr>
          <w:color w:val="3366FF"/>
        </w:rPr>
        <w:t>滕涵宇</w:t>
      </w:r>
      <w:r>
        <w:rPr>
          <w:color w:val="3366FF"/>
          <w:spacing w:val="-8"/>
        </w:rPr>
        <w:t>、</w:t>
      </w:r>
      <w:r>
        <w:rPr>
          <w:color w:val="3366FF"/>
        </w:rPr>
        <w:t>赵明辉</w:t>
      </w:r>
      <w:r>
        <w:rPr>
          <w:color w:val="3366FF"/>
          <w:spacing w:val="-10"/>
        </w:rPr>
        <w:t>、</w:t>
      </w:r>
      <w:r>
        <w:rPr>
          <w:color w:val="3366FF"/>
        </w:rPr>
        <w:t>李庆龄</w:t>
      </w:r>
      <w:r>
        <w:rPr>
          <w:color w:val="3366FF"/>
          <w:spacing w:val="-8"/>
        </w:rPr>
        <w:t>、</w:t>
      </w:r>
      <w:r>
        <w:rPr>
          <w:color w:val="3366FF"/>
        </w:rPr>
        <w:t>宋愔在致公党株洲市委致爱小组组长黄艳群老师的带领下来到株洲市职工大学，牵手株洲 “致公</w:t>
      </w:r>
      <w:r>
        <w:rPr>
          <w:color w:val="3366FF"/>
          <w:spacing w:val="-10"/>
        </w:rPr>
        <w:t>·</w:t>
      </w:r>
      <w:r>
        <w:rPr>
          <w:color w:val="3366FF"/>
        </w:rPr>
        <w:t>宝利班</w:t>
      </w:r>
      <w:r>
        <w:rPr>
          <w:color w:val="3366FF"/>
          <w:spacing w:val="-4"/>
        </w:rPr>
        <w:t>＂，</w:t>
      </w:r>
      <w:r>
        <w:rPr>
          <w:color w:val="3366FF"/>
          <w:spacing w:val="-10"/>
        </w:rPr>
        <w:t>与</w:t>
      </w:r>
      <w:r>
        <w:rPr>
          <w:color w:val="3366FF"/>
        </w:rPr>
        <w:t>“致公</w:t>
      </w:r>
      <w:r>
        <w:rPr>
          <w:color w:val="3366FF"/>
          <w:spacing w:val="-8"/>
        </w:rPr>
        <w:t>·</w:t>
      </w:r>
      <w:r>
        <w:rPr>
          <w:color w:val="3366FF"/>
        </w:rPr>
        <w:t>宝利班</w:t>
      </w:r>
      <w:r>
        <w:rPr>
          <w:color w:val="3366FF"/>
          <w:spacing w:val="-10"/>
        </w:rPr>
        <w:t>”</w:t>
      </w:r>
      <w:r>
        <w:rPr>
          <w:color w:val="3366FF"/>
        </w:rPr>
        <w:t>的学生进行生活和学习上的交流</w:t>
      </w:r>
      <w:r>
        <w:rPr>
          <w:color w:val="3366FF"/>
          <w:spacing w:val="-8"/>
        </w:rPr>
        <w:t>。</w:t>
      </w:r>
      <w:r>
        <w:rPr>
          <w:color w:val="3366FF"/>
        </w:rPr>
        <w:t>本次牵手活动</w:t>
      </w:r>
      <w:r>
        <w:rPr>
          <w:color w:val="3366FF"/>
          <w:spacing w:val="-58"/>
        </w:rPr>
        <w:t>，</w:t>
      </w:r>
      <w:r>
        <w:rPr>
          <w:color w:val="3366FF"/>
        </w:rPr>
        <w:t>是湖南化工职业技术学院德育项目的进一步开展</w:t>
      </w:r>
      <w:r>
        <w:rPr>
          <w:color w:val="3366FF"/>
          <w:spacing w:val="-58"/>
        </w:rPr>
        <w:t>，</w:t>
      </w:r>
      <w:r>
        <w:rPr>
          <w:color w:val="3366FF"/>
        </w:rPr>
        <w:t>是继</w:t>
      </w:r>
      <w:r>
        <w:rPr>
          <w:color w:val="3366FF"/>
          <w:spacing w:val="-60"/>
        </w:rPr>
        <w:t> </w:t>
      </w:r>
      <w:r>
        <w:rPr>
          <w:color w:val="3366FF"/>
        </w:rPr>
        <w:t>2017</w:t>
      </w:r>
      <w:r>
        <w:rPr>
          <w:color w:val="3366FF"/>
          <w:spacing w:val="-60"/>
        </w:rPr>
        <w:t> </w:t>
      </w:r>
      <w:r>
        <w:rPr>
          <w:color w:val="3366FF"/>
        </w:rPr>
        <w:t>年湖南省德育项</w:t>
      </w:r>
      <w:r>
        <w:rPr>
          <w:color w:val="3366FF"/>
          <w:spacing w:val="-56"/>
        </w:rPr>
        <w:t>目</w:t>
      </w:r>
      <w:r>
        <w:rPr>
          <w:color w:val="3366FF"/>
        </w:rPr>
        <w:t>“绿色爱心天使</w:t>
      </w:r>
      <w:r>
        <w:rPr>
          <w:color w:val="3366FF"/>
          <w:spacing w:val="-17"/>
        </w:rPr>
        <w:t>”</w:t>
      </w:r>
      <w:r>
        <w:rPr>
          <w:color w:val="3366FF"/>
        </w:rPr>
        <w:t>项目的传承</w:t>
      </w:r>
      <w:r>
        <w:rPr>
          <w:color w:val="3366FF"/>
          <w:spacing w:val="-4"/>
        </w:rPr>
        <w:t>，2015</w:t>
      </w:r>
      <w:r>
        <w:rPr>
          <w:color w:val="3366FF"/>
          <w:spacing w:val="-58"/>
        </w:rPr>
        <w:t> </w:t>
      </w:r>
      <w:r>
        <w:rPr>
          <w:color w:val="3366FF"/>
        </w:rPr>
        <w:t>级结对的学生毕业了</w:t>
      </w:r>
      <w:r>
        <w:rPr>
          <w:color w:val="3366FF"/>
          <w:spacing w:val="-4"/>
        </w:rPr>
        <w:t>，2016</w:t>
      </w:r>
      <w:r>
        <w:rPr>
          <w:color w:val="3366FF"/>
          <w:spacing w:val="-57"/>
        </w:rPr>
        <w:t> </w:t>
      </w:r>
      <w:r>
        <w:rPr>
          <w:color w:val="3366FF"/>
        </w:rPr>
        <w:t>级的志原者们又来牵手了</w:t>
      </w:r>
      <w:r>
        <w:rPr>
          <w:color w:val="3366FF"/>
          <w:spacing w:val="-18"/>
        </w:rPr>
        <w:t>； </w:t>
      </w:r>
      <w:r>
        <w:rPr>
          <w:color w:val="3366FF"/>
        </w:rPr>
        <w:t>也是致公党株洲市致爱小组</w:t>
      </w:r>
      <w:r>
        <w:rPr>
          <w:color w:val="3366FF"/>
          <w:spacing w:val="-17"/>
        </w:rPr>
        <w:t>对</w:t>
      </w:r>
      <w:r>
        <w:rPr>
          <w:color w:val="3366FF"/>
        </w:rPr>
        <w:t>“致公</w:t>
      </w:r>
      <w:r>
        <w:rPr>
          <w:color w:val="3366FF"/>
          <w:spacing w:val="-17"/>
        </w:rPr>
        <w:t>·</w:t>
      </w:r>
      <w:r>
        <w:rPr>
          <w:color w:val="3366FF"/>
        </w:rPr>
        <w:t>宝利班＂学生的精神食粮的不断输送</w:t>
      </w:r>
      <w:r>
        <w:rPr>
          <w:color w:val="3366FF"/>
          <w:spacing w:val="-17"/>
        </w:rPr>
        <w:t>。</w:t>
      </w:r>
      <w:r>
        <w:rPr>
          <w:color w:val="3366FF"/>
        </w:rPr>
        <w:t>湖南化工职业技术学院的志原者们与“致公·宝利班”的学生和株洲工业学校的学生热情互动， 积极参与培训体验</w:t>
      </w:r>
      <w:r>
        <w:rPr>
          <w:color w:val="3366FF"/>
          <w:spacing w:val="-27"/>
        </w:rPr>
        <w:t>，</w:t>
      </w:r>
      <w:r>
        <w:rPr>
          <w:color w:val="3366FF"/>
        </w:rPr>
        <w:t>既提高了志愿者们的急救救护知识</w:t>
      </w:r>
      <w:r>
        <w:rPr>
          <w:color w:val="3366FF"/>
          <w:spacing w:val="-24"/>
        </w:rPr>
        <w:t>，</w:t>
      </w:r>
      <w:r>
        <w:rPr>
          <w:color w:val="3366FF"/>
        </w:rPr>
        <w:t>又充分展现了湖南化院志原者的精神风貌，践行了我校德育实践育人的目的。</w:t>
      </w:r>
    </w:p>
    <w:p>
      <w:pPr>
        <w:tabs>
          <w:tab w:pos="791" w:val="left" w:leader="none"/>
        </w:tabs>
        <w:spacing w:before="106" w:after="43"/>
        <w:ind w:left="0" w:right="27" w:firstLine="0"/>
        <w:jc w:val="center"/>
        <w:rPr>
          <w:b/>
          <w:sz w:val="21"/>
        </w:rPr>
      </w:pPr>
      <w:r>
        <w:rPr>
          <w:b/>
          <w:sz w:val="21"/>
        </w:rPr>
        <w:t>图</w:t>
      </w:r>
      <w:r>
        <w:rPr>
          <w:b/>
          <w:spacing w:val="-53"/>
          <w:sz w:val="21"/>
        </w:rPr>
        <w:t> </w:t>
      </w:r>
      <w:r>
        <w:rPr>
          <w:b/>
          <w:sz w:val="21"/>
        </w:rPr>
        <w:t>2-5</w:t>
        <w:tab/>
      </w:r>
      <w:r>
        <w:rPr>
          <w:b/>
          <w:w w:val="95"/>
          <w:sz w:val="21"/>
        </w:rPr>
        <w:t>志愿活动现场(1)</w:t>
      </w:r>
    </w:p>
    <w:p>
      <w:pPr>
        <w:pStyle w:val="BodyText"/>
        <w:ind w:left="3096"/>
        <w:rPr>
          <w:sz w:val="20"/>
        </w:rPr>
      </w:pPr>
      <w:r>
        <w:rPr>
          <w:sz w:val="20"/>
        </w:rPr>
        <w:drawing>
          <wp:inline distT="0" distB="0" distL="0" distR="0">
            <wp:extent cx="3632057" cy="2170938"/>
            <wp:effectExtent l="0" t="0" r="0" b="0"/>
            <wp:docPr id="37" name="image23.jpeg"/>
            <wp:cNvGraphicFramePr>
              <a:graphicFrameLocks noChangeAspect="1"/>
            </wp:cNvGraphicFramePr>
            <a:graphic>
              <a:graphicData uri="http://schemas.openxmlformats.org/drawingml/2006/picture">
                <pic:pic>
                  <pic:nvPicPr>
                    <pic:cNvPr id="38" name="image23.jpeg"/>
                    <pic:cNvPicPr/>
                  </pic:nvPicPr>
                  <pic:blipFill>
                    <a:blip r:embed="rId33" cstate="print"/>
                    <a:stretch>
                      <a:fillRect/>
                    </a:stretch>
                  </pic:blipFill>
                  <pic:spPr>
                    <a:xfrm>
                      <a:off x="0" y="0"/>
                      <a:ext cx="3632057" cy="2170938"/>
                    </a:xfrm>
                    <a:prstGeom prst="rect">
                      <a:avLst/>
                    </a:prstGeom>
                  </pic:spPr>
                </pic:pic>
              </a:graphicData>
            </a:graphic>
          </wp:inline>
        </w:drawing>
      </w:r>
      <w:r>
        <w:rPr>
          <w:sz w:val="20"/>
        </w:rPr>
      </w:r>
    </w:p>
    <w:p>
      <w:pPr>
        <w:tabs>
          <w:tab w:pos="791" w:val="left" w:leader="none"/>
        </w:tabs>
        <w:spacing w:before="12"/>
        <w:ind w:left="0" w:right="27" w:firstLine="0"/>
        <w:jc w:val="center"/>
        <w:rPr>
          <w:b/>
          <w:sz w:val="21"/>
        </w:rPr>
      </w:pPr>
      <w:r>
        <w:rPr>
          <w:b/>
          <w:sz w:val="21"/>
        </w:rPr>
        <w:t>图</w:t>
      </w:r>
      <w:r>
        <w:rPr>
          <w:b/>
          <w:spacing w:val="-53"/>
          <w:sz w:val="21"/>
        </w:rPr>
        <w:t> </w:t>
      </w:r>
      <w:r>
        <w:rPr>
          <w:b/>
          <w:sz w:val="21"/>
        </w:rPr>
        <w:t>2-6</w:t>
        <w:tab/>
      </w:r>
      <w:r>
        <w:rPr>
          <w:b/>
          <w:w w:val="95"/>
          <w:sz w:val="21"/>
        </w:rPr>
        <w:t>志愿活动现场(2)</w:t>
      </w:r>
    </w:p>
    <w:p>
      <w:pPr>
        <w:spacing w:after="0"/>
        <w:jc w:val="center"/>
        <w:rPr>
          <w:sz w:val="21"/>
        </w:rPr>
        <w:sectPr>
          <w:pgSz w:w="11910" w:h="16840"/>
          <w:pgMar w:header="780" w:footer="1241" w:top="1260" w:bottom="1440" w:left="0" w:right="0"/>
        </w:sectPr>
      </w:pPr>
    </w:p>
    <w:p>
      <w:pPr>
        <w:pStyle w:val="Heading2"/>
        <w:numPr>
          <w:ilvl w:val="1"/>
          <w:numId w:val="2"/>
        </w:numPr>
        <w:tabs>
          <w:tab w:pos="2471" w:val="left" w:leader="none"/>
          <w:tab w:pos="2472" w:val="left" w:leader="none"/>
        </w:tabs>
        <w:spacing w:line="240" w:lineRule="auto" w:before="141" w:after="0"/>
        <w:ind w:left="2472" w:right="0" w:hanging="574"/>
        <w:jc w:val="left"/>
        <w:rPr>
          <w:rFonts w:ascii="Arial" w:eastAsia="Arial"/>
        </w:rPr>
      </w:pPr>
      <w:bookmarkStart w:name="2.2  综合素质" w:id="55"/>
      <w:bookmarkEnd w:id="55"/>
      <w:r>
        <w:rPr>
          <w:b w:val="0"/>
        </w:rPr>
      </w:r>
      <w:bookmarkStart w:name="_bookmark19" w:id="56"/>
      <w:bookmarkEnd w:id="56"/>
      <w:r>
        <w:rPr>
          <w:b w:val="0"/>
        </w:rPr>
      </w:r>
      <w:bookmarkStart w:name="_bookmark19" w:id="57"/>
      <w:bookmarkEnd w:id="57"/>
      <w:r>
        <w:rPr/>
        <w:t>综合素质</w:t>
      </w:r>
    </w:p>
    <w:p>
      <w:pPr>
        <w:pStyle w:val="BodyText"/>
        <w:spacing w:before="6"/>
        <w:rPr>
          <w:rFonts w:ascii="黑体"/>
          <w:b/>
        </w:rPr>
      </w:pPr>
    </w:p>
    <w:p>
      <w:pPr>
        <w:pStyle w:val="Heading2"/>
        <w:numPr>
          <w:ilvl w:val="2"/>
          <w:numId w:val="2"/>
        </w:numPr>
        <w:tabs>
          <w:tab w:pos="2743" w:val="left" w:leader="none"/>
          <w:tab w:pos="2744" w:val="left" w:leader="none"/>
        </w:tabs>
        <w:spacing w:line="240" w:lineRule="auto" w:before="0" w:after="0"/>
        <w:ind w:left="2743" w:right="0" w:hanging="846"/>
        <w:jc w:val="left"/>
      </w:pPr>
      <w:bookmarkStart w:name="2.2.1  技能水平突出" w:id="58"/>
      <w:bookmarkEnd w:id="58"/>
      <w:r>
        <w:rPr>
          <w:b w:val="0"/>
        </w:rPr>
      </w:r>
      <w:bookmarkStart w:name="_bookmark20" w:id="59"/>
      <w:bookmarkEnd w:id="59"/>
      <w:r>
        <w:rPr>
          <w:b w:val="0"/>
        </w:rPr>
      </w:r>
      <w:bookmarkStart w:name="_bookmark20" w:id="60"/>
      <w:bookmarkEnd w:id="60"/>
      <w:r>
        <w:rPr/>
        <w:t>技能水平突出</w:t>
      </w:r>
    </w:p>
    <w:p>
      <w:pPr>
        <w:pStyle w:val="BodyText"/>
        <w:spacing w:before="7"/>
        <w:rPr>
          <w:rFonts w:ascii="黑体"/>
          <w:b/>
          <w:sz w:val="18"/>
        </w:rPr>
      </w:pPr>
    </w:p>
    <w:p>
      <w:pPr>
        <w:pStyle w:val="BodyText"/>
        <w:spacing w:line="364" w:lineRule="auto"/>
        <w:ind w:left="1418" w:right="1274" w:firstLine="480"/>
      </w:pPr>
      <w:r>
        <w:rPr>
          <w:b/>
          <w:spacing w:val="-16"/>
        </w:rPr>
        <w:t>推行“标准+计划+团队”的训练模式，提升技能培养水平。</w:t>
      </w:r>
      <w:r>
        <w:rPr/>
        <w:t>基于专业人才培养方案， 坚持“三个对接”(即对接职业资格标准、对接生产技术发展对岗位从业人员能力要求的变化、对接典型竞赛项目技术要点)，结合专业特色，各专业均制定一套科学的技能训练</w:t>
      </w:r>
      <w:r>
        <w:rPr>
          <w:b/>
        </w:rPr>
        <w:t>标准</w:t>
      </w:r>
      <w:r>
        <w:rPr>
          <w:spacing w:val="-7"/>
        </w:rPr>
        <w:t>；再结合学生特点、指导教师专长、硬件条件以及各个项目特点，科学制定模块化分层教学与训练</w:t>
      </w:r>
      <w:r>
        <w:rPr>
          <w:b/>
          <w:spacing w:val="-7"/>
        </w:rPr>
        <w:t>计划</w:t>
      </w:r>
      <w:r>
        <w:rPr>
          <w:spacing w:val="-7"/>
        </w:rPr>
        <w:t>，并将技能竞赛规程标准有机地渗透到日常教学中，整合专业</w:t>
      </w:r>
      <w:r>
        <w:rPr>
          <w:spacing w:val="-9"/>
        </w:rPr>
        <w:t>基础理论、精简重复交叉内容，有针对性地加强专业基础课程内容和与竞赛、生产密切</w:t>
      </w:r>
      <w:r>
        <w:rPr>
          <w:spacing w:val="-12"/>
        </w:rPr>
        <w:t>相关的知识和技能训练模块，促进学生职业素质和职业技能的整体提升；精心组建竞赛</w:t>
      </w:r>
      <w:r>
        <w:rPr>
          <w:spacing w:val="-7"/>
        </w:rPr>
        <w:t>训练、指导和服务</w:t>
      </w:r>
      <w:r>
        <w:rPr>
          <w:b/>
        </w:rPr>
        <w:t>团队</w:t>
      </w:r>
      <w:r>
        <w:rPr>
          <w:spacing w:val="-6"/>
        </w:rPr>
        <w:t>，各个专业围绕专业核心技能设置赛项，将各类竞赛预赛选拔与</w:t>
      </w:r>
      <w:r>
        <w:rPr>
          <w:spacing w:val="-10"/>
        </w:rPr>
        <w:t>课程学习、考核评价结合，灵活组建、动态调整、内外结合的竞赛指导团队，同时鼓励学生跨专业、跨年级组团参赛，有效整合师生资源，实施</w:t>
      </w:r>
      <w:r>
        <w:rPr>
          <w:b/>
        </w:rPr>
        <w:t>开放式</w:t>
      </w:r>
      <w:r>
        <w:rPr>
          <w:spacing w:val="-2"/>
        </w:rPr>
        <w:t>的技能训练，确保训练有序高效。</w:t>
      </w:r>
    </w:p>
    <w:p>
      <w:pPr>
        <w:pStyle w:val="BodyText"/>
        <w:spacing w:line="364" w:lineRule="auto"/>
        <w:ind w:left="1418" w:right="1288" w:firstLine="480"/>
      </w:pPr>
      <w:r>
        <w:rPr>
          <w:b/>
          <w:spacing w:val="-6"/>
        </w:rPr>
        <w:t>创新“融合+集训+激励”的管理机制，保障技能训练成效。</w:t>
      </w:r>
      <w:r>
        <w:rPr>
          <w:spacing w:val="-26"/>
        </w:rPr>
        <w:t>学院建立“融合”、“集</w:t>
      </w:r>
      <w:r>
        <w:rPr>
          <w:spacing w:val="-23"/>
        </w:rPr>
        <w:t>训”、“激励”三种特色机制，不断完善竞赛引领、机制驱动的技能训练工作体系。</w:t>
      </w:r>
      <w:r>
        <w:rPr>
          <w:b/>
          <w:spacing w:val="-4"/>
        </w:rPr>
        <w:t>首先， </w:t>
      </w:r>
      <w:r>
        <w:rPr>
          <w:spacing w:val="-3"/>
        </w:rPr>
        <w:t>学院坚持着眼于全体学生的职业技能训练和水平提高、全体学生的素质养成和就业竞争</w:t>
      </w:r>
      <w:r>
        <w:rPr>
          <w:spacing w:val="-8"/>
        </w:rPr>
        <w:t>力的培养，实施将竞赛项目进人才培养方案、进课堂、进课程(毕业)设计，将竞赛训练</w:t>
      </w:r>
      <w:r>
        <w:rPr>
          <w:spacing w:val="-16"/>
        </w:rPr>
        <w:t>与常规教学活动、竞赛评价与教学质量评价、校园文化与企业文化融合的“</w:t>
      </w:r>
      <w:r>
        <w:rPr>
          <w:b/>
        </w:rPr>
        <w:t>三进三融合</w:t>
      </w:r>
      <w:r>
        <w:rPr>
          <w:spacing w:val="-12"/>
        </w:rPr>
        <w:t>” </w:t>
      </w:r>
      <w:r>
        <w:rPr>
          <w:b/>
        </w:rPr>
        <w:t>工作机制</w:t>
      </w:r>
      <w:r>
        <w:rPr>
          <w:spacing w:val="-7"/>
        </w:rPr>
        <w:t>，形成以校园技能节为主线的专业技能训练与竞赛的深对接、常态化和普惠性</w:t>
      </w:r>
      <w:r>
        <w:rPr>
          <w:spacing w:val="-12"/>
        </w:rPr>
        <w:t>的特色，实现竞赛引领专业技能培养的目的；</w:t>
      </w:r>
      <w:r>
        <w:rPr>
          <w:b/>
          <w:spacing w:val="-20"/>
        </w:rPr>
        <w:t>其次，</w:t>
      </w:r>
      <w:r>
        <w:rPr>
          <w:spacing w:val="-1"/>
        </w:rPr>
        <w:t>基于专业课程学习考核和预赛选拔， </w:t>
      </w:r>
      <w:r>
        <w:rPr>
          <w:spacing w:val="-4"/>
        </w:rPr>
        <w:t>每年面向专业学习基础较好、技能提升欲望较强的学生，组建专业技能强化训练班和专</w:t>
      </w:r>
      <w:r>
        <w:rPr>
          <w:spacing w:val="-12"/>
        </w:rPr>
        <w:t>业类社团，开展为期 </w:t>
      </w:r>
      <w:r>
        <w:rPr/>
        <w:t>4</w:t>
      </w:r>
      <w:r>
        <w:rPr>
          <w:spacing w:val="-8"/>
        </w:rPr>
        <w:t> 个月以上的校级</w:t>
      </w:r>
      <w:r>
        <w:rPr>
          <w:b/>
        </w:rPr>
        <w:t>集训</w:t>
      </w:r>
      <w:r>
        <w:rPr>
          <w:spacing w:val="-5"/>
        </w:rPr>
        <w:t>，着力提升学生专业操作技能、思辨与创新</w:t>
      </w:r>
      <w:r>
        <w:rPr>
          <w:spacing w:val="-8"/>
        </w:rPr>
        <w:t>能力，反复模拟真实竞赛环境，提升参赛学生的心理素质。今年，省教育厅统一组织的国赛</w:t>
      </w:r>
      <w:r>
        <w:rPr>
          <w:b/>
          <w:spacing w:val="-8"/>
        </w:rPr>
        <w:t>集训</w:t>
      </w:r>
      <w:r>
        <w:rPr>
          <w:spacing w:val="-8"/>
        </w:rPr>
        <w:t>，更是有效地促进了兄弟院校间资源共享、技术技能切磋、共同提高；</w:t>
      </w:r>
      <w:r>
        <w:rPr>
          <w:b/>
          <w:spacing w:val="-8"/>
        </w:rPr>
        <w:t>第三， </w:t>
      </w:r>
      <w:r>
        <w:rPr>
          <w:spacing w:val="-10"/>
        </w:rPr>
        <w:t>学院从精神和物质层面，不断完善了技能训练与竞赛工作</w:t>
      </w:r>
      <w:r>
        <w:rPr>
          <w:b/>
        </w:rPr>
        <w:t>激励机制</w:t>
      </w:r>
      <w:r>
        <w:rPr>
          <w:spacing w:val="-6"/>
        </w:rPr>
        <w:t>，将技能训练与竞赛</w:t>
      </w:r>
      <w:r>
        <w:rPr>
          <w:spacing w:val="-16"/>
        </w:rPr>
        <w:t>成绩纳入对部门和个人绩效考核、奖励目标，大力提高对指导团队和参赛团队师生奖励， </w:t>
      </w:r>
      <w:r>
        <w:rPr>
          <w:spacing w:val="-8"/>
        </w:rPr>
        <w:t>且，凡是指导学生或本人参加国家级教学竞赛获得优异成绩的教师，可破格享受教学标</w:t>
      </w:r>
      <w:r>
        <w:rPr>
          <w:spacing w:val="-12"/>
        </w:rPr>
        <w:t>兵待遇(每个月增加 </w:t>
      </w:r>
      <w:r>
        <w:rPr/>
        <w:t>1000</w:t>
      </w:r>
      <w:r>
        <w:rPr>
          <w:spacing w:val="-7"/>
        </w:rPr>
        <w:t> 元绩效)，个人和部门在年度评优评先中均予以加分和优先考</w:t>
      </w:r>
      <w:r>
        <w:rPr>
          <w:spacing w:val="-8"/>
        </w:rPr>
        <w:t>虑；对在技能竞赛中获得优异成绩的学生保障推荐最好的就业单位和优先推荐到本科院</w:t>
      </w:r>
    </w:p>
    <w:p>
      <w:pPr>
        <w:spacing w:after="0" w:line="364" w:lineRule="auto"/>
        <w:sectPr>
          <w:pgSz w:w="11910" w:h="16840"/>
          <w:pgMar w:header="780" w:footer="1241" w:top="1260" w:bottom="1440" w:left="0" w:right="0"/>
        </w:sectPr>
      </w:pPr>
    </w:p>
    <w:p>
      <w:pPr>
        <w:pStyle w:val="BodyText"/>
        <w:spacing w:line="364" w:lineRule="auto" w:before="141"/>
        <w:ind w:left="1418" w:right="1408"/>
        <w:jc w:val="both"/>
      </w:pPr>
      <w:r>
        <w:rPr>
          <w:spacing w:val="-5"/>
        </w:rPr>
        <w:t>校学习。还形成了一种</w:t>
      </w:r>
      <w:r>
        <w:rPr>
          <w:b/>
          <w:spacing w:val="-2"/>
        </w:rPr>
        <w:t>“两会一仪式”</w:t>
      </w:r>
      <w:r>
        <w:rPr>
          <w:spacing w:val="-3"/>
        </w:rPr>
        <w:t>的竞赛激励文化，学院每年都会举行一次技能训</w:t>
      </w:r>
      <w:r>
        <w:rPr>
          <w:spacing w:val="-4"/>
        </w:rPr>
        <w:t>练与竞赛总结表彰大会，每次大型竞赛结束后都会召开由党委书记、校长出席并全程参</w:t>
      </w:r>
      <w:r>
        <w:rPr>
          <w:spacing w:val="-8"/>
        </w:rPr>
        <w:t>加的总结座谈会，获得全国竞赛一等奖的师生团队回校会受到学院最高礼遇的接待“仪</w:t>
      </w:r>
      <w:r>
        <w:rPr>
          <w:spacing w:val="-12"/>
        </w:rPr>
        <w:t>式”，让所有为此付出的师生得到充分尊重。</w:t>
      </w:r>
    </w:p>
    <w:p>
      <w:pPr>
        <w:pStyle w:val="BodyText"/>
        <w:tabs>
          <w:tab w:pos="5409" w:val="left" w:leader="none"/>
          <w:tab w:pos="6134" w:val="left" w:leader="none"/>
          <w:tab w:pos="6859" w:val="left" w:leader="none"/>
        </w:tabs>
        <w:spacing w:line="364" w:lineRule="auto"/>
        <w:ind w:left="1418" w:right="1297" w:firstLine="472"/>
      </w:pPr>
      <w:r>
        <w:rPr>
          <w:b/>
        </w:rPr>
        <w:t>筑</w:t>
      </w:r>
      <w:r>
        <w:rPr>
          <w:b/>
          <w:spacing w:val="-17"/>
        </w:rPr>
        <w:t>建</w:t>
      </w:r>
      <w:r>
        <w:rPr>
          <w:b/>
        </w:rPr>
        <w:t>“协同+奋进+求精</w:t>
      </w:r>
      <w:r>
        <w:rPr>
          <w:b/>
          <w:spacing w:val="-17"/>
        </w:rPr>
        <w:t>”</w:t>
      </w:r>
      <w:r>
        <w:rPr>
          <w:b/>
        </w:rPr>
        <w:t>的竞赛文化</w:t>
      </w:r>
      <w:r>
        <w:rPr>
          <w:b/>
          <w:spacing w:val="-17"/>
        </w:rPr>
        <w:t>，</w:t>
      </w:r>
      <w:r>
        <w:rPr>
          <w:b/>
        </w:rPr>
        <w:t>营造技能训练工作氛围</w:t>
      </w:r>
      <w:r>
        <w:rPr>
          <w:b/>
          <w:spacing w:val="-17"/>
        </w:rPr>
        <w:t>。</w:t>
      </w:r>
      <w:r>
        <w:rPr/>
        <w:t>学院将技能训练与竞赛</w:t>
      </w:r>
      <w:r>
        <w:rPr>
          <w:spacing w:val="-15"/>
        </w:rPr>
        <w:t>，</w:t>
      </w:r>
      <w:r>
        <w:rPr/>
        <w:t>作为提升人才培养工作水平的重要抓手</w:t>
      </w:r>
      <w:r>
        <w:rPr>
          <w:spacing w:val="-12"/>
        </w:rPr>
        <w:t>，</w:t>
      </w:r>
      <w:r>
        <w:rPr/>
        <w:t>书记</w:t>
      </w:r>
      <w:r>
        <w:rPr>
          <w:spacing w:val="-15"/>
        </w:rPr>
        <w:t>、</w:t>
      </w:r>
      <w:r>
        <w:rPr/>
        <w:t>校长率先垂范</w:t>
      </w:r>
      <w:r>
        <w:rPr>
          <w:spacing w:val="-15"/>
        </w:rPr>
        <w:t>，</w:t>
      </w:r>
      <w:r>
        <w:rPr/>
        <w:t>到基层调研指导巳成为常态</w:t>
      </w:r>
      <w:r>
        <w:rPr>
          <w:spacing w:val="-34"/>
        </w:rPr>
        <w:t>。</w:t>
      </w:r>
      <w:r>
        <w:rPr/>
        <w:t>从二级教学单位</w:t>
      </w:r>
      <w:r>
        <w:rPr>
          <w:spacing w:val="-36"/>
        </w:rPr>
        <w:t>、</w:t>
      </w:r>
      <w:r>
        <w:rPr/>
        <w:t>教务处到资产</w:t>
      </w:r>
      <w:r>
        <w:rPr>
          <w:spacing w:val="-34"/>
        </w:rPr>
        <w:t>、</w:t>
      </w:r>
      <w:r>
        <w:rPr/>
        <w:t>后勤</w:t>
      </w:r>
      <w:r>
        <w:rPr>
          <w:spacing w:val="-34"/>
        </w:rPr>
        <w:t>、</w:t>
      </w:r>
      <w:r>
        <w:rPr/>
        <w:t>宣传</w:t>
      </w:r>
      <w:r>
        <w:rPr>
          <w:spacing w:val="-34"/>
        </w:rPr>
        <w:t>、</w:t>
      </w:r>
      <w:r>
        <w:rPr/>
        <w:t>办公室等各保障服务部门</w:t>
      </w:r>
      <w:r>
        <w:rPr>
          <w:spacing w:val="-17"/>
        </w:rPr>
        <w:t>， </w:t>
      </w:r>
      <w:r>
        <w:rPr/>
        <w:t>以目标为导向</w:t>
      </w:r>
      <w:r>
        <w:rPr>
          <w:spacing w:val="-10"/>
        </w:rPr>
        <w:t>，</w:t>
      </w:r>
      <w:r>
        <w:rPr>
          <w:b/>
        </w:rPr>
        <w:t>协同</w:t>
      </w:r>
      <w:r>
        <w:rPr/>
        <w:t>快速解决问题</w:t>
      </w:r>
      <w:r>
        <w:rPr>
          <w:spacing w:val="-10"/>
        </w:rPr>
        <w:t>，</w:t>
      </w:r>
      <w:r>
        <w:rPr/>
        <w:t>形成上下联动</w:t>
      </w:r>
      <w:r>
        <w:rPr>
          <w:spacing w:val="-10"/>
        </w:rPr>
        <w:t>、</w:t>
      </w:r>
      <w:r>
        <w:rPr/>
        <w:t>共同努力</w:t>
      </w:r>
      <w:r>
        <w:rPr>
          <w:spacing w:val="-10"/>
        </w:rPr>
        <w:t>、</w:t>
      </w:r>
      <w:r>
        <w:rPr/>
        <w:t>狠抓落实的格局</w:t>
      </w:r>
      <w:r>
        <w:rPr>
          <w:spacing w:val="-10"/>
        </w:rPr>
        <w:t>。</w:t>
      </w:r>
      <w:r>
        <w:rPr/>
        <w:t>在学院近</w:t>
      </w:r>
      <w:r>
        <w:rPr>
          <w:spacing w:val="-56"/>
        </w:rPr>
        <w:t> </w:t>
      </w:r>
      <w:r>
        <w:rPr/>
        <w:t>60</w:t>
      </w:r>
      <w:r>
        <w:rPr>
          <w:spacing w:val="-54"/>
        </w:rPr>
        <w:t> </w:t>
      </w:r>
      <w:r>
        <w:rPr/>
        <w:t>年的办学实践中，在“厚德</w:t>
        <w:tab/>
        <w:t>励志</w:t>
        <w:tab/>
        <w:t>笃学</w:t>
        <w:tab/>
        <w:t>精艺”的校训文化熏陶下，</w:t>
      </w:r>
      <w:r>
        <w:rPr>
          <w:b/>
        </w:rPr>
        <w:t>奋进</w:t>
      </w:r>
      <w:r>
        <w:rPr/>
        <w:t>的精神早已根植于每一位化院人心灵的深处</w:t>
      </w:r>
      <w:r>
        <w:rPr>
          <w:spacing w:val="-51"/>
        </w:rPr>
        <w:t>，</w:t>
      </w:r>
      <w:r>
        <w:rPr/>
        <w:t>这种坚定执着的信念已经成为了一种强大的精神力量，指引着大家坚持紧绕目标，在工作过程中强化树立“竞争意识、进步意识、名次意识”，专业技术上克服困难、奋力攻坚，行动上敢于担当、忘我拼搏。多年来， “积极进取</w:t>
      </w:r>
      <w:r>
        <w:rPr>
          <w:spacing w:val="-15"/>
        </w:rPr>
        <w:t>、</w:t>
      </w:r>
      <w:r>
        <w:rPr/>
        <w:t>勤而好学</w:t>
      </w:r>
      <w:r>
        <w:rPr>
          <w:spacing w:val="-15"/>
        </w:rPr>
        <w:t>、</w:t>
      </w:r>
      <w:r>
        <w:rPr/>
        <w:t>‘没有最好</w:t>
      </w:r>
      <w:r>
        <w:rPr>
          <w:spacing w:val="-12"/>
        </w:rPr>
        <w:t>、</w:t>
      </w:r>
      <w:r>
        <w:rPr/>
        <w:t>只有更好’的工匠精神</w:t>
      </w:r>
      <w:r>
        <w:rPr>
          <w:spacing w:val="-7"/>
        </w:rPr>
        <w:t>”，</w:t>
      </w:r>
      <w:r>
        <w:rPr/>
        <w:t>成为了各参赛训练团队的座右铭</w:t>
      </w:r>
      <w:r>
        <w:rPr>
          <w:spacing w:val="-5"/>
        </w:rPr>
        <w:t>，“</w:t>
      </w:r>
      <w:r>
        <w:rPr/>
        <w:t>吃得苦</w:t>
      </w:r>
      <w:r>
        <w:rPr>
          <w:spacing w:val="-12"/>
        </w:rPr>
        <w:t>、</w:t>
      </w:r>
      <w:r>
        <w:rPr/>
        <w:t>霸得蛮</w:t>
      </w:r>
      <w:r>
        <w:rPr>
          <w:spacing w:val="-10"/>
        </w:rPr>
        <w:t>、</w:t>
      </w:r>
      <w:r>
        <w:rPr/>
        <w:t>耐得烦</w:t>
      </w:r>
      <w:r>
        <w:rPr>
          <w:spacing w:val="-10"/>
        </w:rPr>
        <w:t>、</w:t>
      </w:r>
      <w:r>
        <w:rPr/>
        <w:t>钻得深”成为指导团队的真实写照</w:t>
      </w:r>
      <w:r>
        <w:rPr>
          <w:spacing w:val="-5"/>
        </w:rPr>
        <w:t>，“</w:t>
      </w:r>
      <w:r>
        <w:rPr/>
        <w:t>甘于奉献</w:t>
      </w:r>
      <w:r>
        <w:rPr>
          <w:spacing w:val="-15"/>
        </w:rPr>
        <w:t>、</w:t>
      </w:r>
      <w:r>
        <w:rPr/>
        <w:t>兢兢业业</w:t>
      </w:r>
      <w:r>
        <w:rPr>
          <w:spacing w:val="-12"/>
        </w:rPr>
        <w:t>、</w:t>
      </w:r>
      <w:r>
        <w:rPr/>
        <w:t>责任意识</w:t>
      </w:r>
      <w:r>
        <w:rPr>
          <w:spacing w:val="-12"/>
        </w:rPr>
        <w:t>、</w:t>
      </w:r>
      <w:r>
        <w:rPr/>
        <w:t>大局意识”是各服务团队工作的基本要求</w:t>
      </w:r>
      <w:r>
        <w:rPr>
          <w:spacing w:val="-15"/>
        </w:rPr>
        <w:t>，</w:t>
      </w:r>
      <w:r>
        <w:rPr>
          <w:b/>
        </w:rPr>
        <w:t>精益求精</w:t>
      </w:r>
      <w:r>
        <w:rPr/>
        <w:t>的技能训练与竞赛文化相得益彰，巳凝练成为富有特色的学院文化建设的重要内容之一。</w:t>
      </w:r>
    </w:p>
    <w:p>
      <w:pPr>
        <w:pStyle w:val="BodyText"/>
        <w:spacing w:line="303" w:lineRule="exact"/>
        <w:ind w:left="1891"/>
      </w:pPr>
      <w:r>
        <w:rPr/>
        <w:t>近三年，学生在国家级、省级各项技能竞赛中先后荣获国家级一等奖 7 项、二等奖</w:t>
      </w:r>
    </w:p>
    <w:p>
      <w:pPr>
        <w:pStyle w:val="BodyText"/>
        <w:spacing w:line="362" w:lineRule="auto" w:before="155"/>
        <w:ind w:left="1418" w:right="1416"/>
      </w:pPr>
      <w:r>
        <w:rPr/>
        <w:t>7</w:t>
      </w:r>
      <w:r>
        <w:rPr>
          <w:spacing w:val="-17"/>
        </w:rPr>
        <w:t> 项、三等奖 </w:t>
      </w:r>
      <w:r>
        <w:rPr/>
        <w:t>18</w:t>
      </w:r>
      <w:r>
        <w:rPr>
          <w:spacing w:val="-14"/>
        </w:rPr>
        <w:t> 项；获省级一等奖 </w:t>
      </w:r>
      <w:r>
        <w:rPr/>
        <w:t>23</w:t>
      </w:r>
      <w:r>
        <w:rPr>
          <w:spacing w:val="-17"/>
        </w:rPr>
        <w:t> 项、二等奖 </w:t>
      </w:r>
      <w:r>
        <w:rPr/>
        <w:t>32</w:t>
      </w:r>
      <w:r>
        <w:rPr>
          <w:spacing w:val="-14"/>
        </w:rPr>
        <w:t> 项、省级三等奖 </w:t>
      </w:r>
      <w:r>
        <w:rPr/>
        <w:t>22</w:t>
      </w:r>
      <w:r>
        <w:rPr>
          <w:spacing w:val="-11"/>
        </w:rPr>
        <w:t> 项。其中参加</w:t>
      </w:r>
      <w:r>
        <w:rPr/>
        <w:t>全国大学生数学建模竞赛连续三年荣获一等奖。</w:t>
      </w:r>
    </w:p>
    <w:p>
      <w:pPr>
        <w:pStyle w:val="BodyText"/>
        <w:spacing w:before="5"/>
        <w:ind w:left="1898"/>
      </w:pPr>
      <w:r>
        <w:rPr/>
        <w:t>2018</w:t>
      </w:r>
      <w:r>
        <w:rPr>
          <w:spacing w:val="-11"/>
        </w:rPr>
        <w:t> 年，组织学生参加行业和省级以上技能竞赛 </w:t>
      </w:r>
      <w:r>
        <w:rPr/>
        <w:t>30</w:t>
      </w:r>
      <w:r>
        <w:rPr>
          <w:spacing w:val="-13"/>
        </w:rPr>
        <w:t> 余项，获得全国一等奖 </w:t>
      </w:r>
      <w:r>
        <w:rPr/>
        <w:t>3</w:t>
      </w:r>
      <w:r>
        <w:rPr>
          <w:spacing w:val="-20"/>
        </w:rPr>
        <w:t> 项、</w:t>
      </w:r>
    </w:p>
    <w:p>
      <w:pPr>
        <w:pStyle w:val="BodyText"/>
        <w:spacing w:before="161"/>
        <w:ind w:left="1418"/>
      </w:pPr>
      <w:r>
        <w:rPr>
          <w:spacing w:val="-15"/>
        </w:rPr>
        <w:t>二等奖 </w:t>
      </w:r>
      <w:r>
        <w:rPr/>
        <w:t>1</w:t>
      </w:r>
      <w:r>
        <w:rPr>
          <w:spacing w:val="-20"/>
        </w:rPr>
        <w:t> 项、三等奖 </w:t>
      </w:r>
      <w:r>
        <w:rPr/>
        <w:t>1</w:t>
      </w:r>
      <w:r>
        <w:rPr>
          <w:spacing w:val="-17"/>
        </w:rPr>
        <w:t> 项，省级一等奖 </w:t>
      </w:r>
      <w:r>
        <w:rPr/>
        <w:t>7</w:t>
      </w:r>
      <w:r>
        <w:rPr>
          <w:spacing w:val="-20"/>
        </w:rPr>
        <w:t> 项、二等奖 </w:t>
      </w:r>
      <w:r>
        <w:rPr/>
        <w:t>11</w:t>
      </w:r>
      <w:r>
        <w:rPr>
          <w:spacing w:val="-20"/>
        </w:rPr>
        <w:t> 项、三等奖 </w:t>
      </w:r>
      <w:r>
        <w:rPr/>
        <w:t>14</w:t>
      </w:r>
      <w:r>
        <w:rPr>
          <w:spacing w:val="-11"/>
        </w:rPr>
        <w:t> 项。学生参加省</w:t>
      </w:r>
    </w:p>
    <w:p>
      <w:pPr>
        <w:pStyle w:val="BodyText"/>
        <w:spacing w:before="158"/>
        <w:ind w:left="1418"/>
      </w:pPr>
      <w:r>
        <w:rPr>
          <w:spacing w:val="-5"/>
        </w:rPr>
        <w:t>级技能抽查和毕业设计抽查成绩优秀。学院 </w:t>
      </w:r>
      <w:r>
        <w:rPr/>
        <w:t>2018</w:t>
      </w:r>
      <w:r>
        <w:rPr>
          <w:spacing w:val="-20"/>
        </w:rPr>
        <w:t> 届毕业生 </w:t>
      </w:r>
      <w:r>
        <w:rPr/>
        <w:t>3163</w:t>
      </w:r>
      <w:r>
        <w:rPr>
          <w:spacing w:val="-10"/>
        </w:rPr>
        <w:t> 人，获得职业资格证书</w:t>
      </w:r>
    </w:p>
    <w:p>
      <w:pPr>
        <w:pStyle w:val="BodyText"/>
        <w:spacing w:before="160"/>
        <w:ind w:left="1418"/>
      </w:pPr>
      <w:r>
        <w:rPr/>
        <w:t>3163 人，获证率 100%，其中获得高级资格证书 377 人。</w:t>
      </w:r>
    </w:p>
    <w:p>
      <w:pPr>
        <w:spacing w:after="0"/>
        <w:sectPr>
          <w:pgSz w:w="11910" w:h="16840"/>
          <w:pgMar w:header="780" w:footer="1241" w:top="1260" w:bottom="1440" w:left="0" w:right="0"/>
        </w:sectPr>
      </w:pPr>
    </w:p>
    <w:p>
      <w:pPr>
        <w:pStyle w:val="BodyText"/>
        <w:spacing w:before="11" w:after="1"/>
        <w:rPr>
          <w:sz w:val="10"/>
        </w:rPr>
      </w:pPr>
    </w:p>
    <w:p>
      <w:pPr>
        <w:pStyle w:val="BodyText"/>
        <w:ind w:left="2138"/>
        <w:rPr>
          <w:sz w:val="20"/>
        </w:rPr>
      </w:pPr>
      <w:r>
        <w:rPr>
          <w:sz w:val="20"/>
        </w:rPr>
        <w:drawing>
          <wp:inline distT="0" distB="0" distL="0" distR="0">
            <wp:extent cx="4817460" cy="2571750"/>
            <wp:effectExtent l="0" t="0" r="0" b="0"/>
            <wp:docPr id="39" name="image24.png"/>
            <wp:cNvGraphicFramePr>
              <a:graphicFrameLocks noChangeAspect="1"/>
            </wp:cNvGraphicFramePr>
            <a:graphic>
              <a:graphicData uri="http://schemas.openxmlformats.org/drawingml/2006/picture">
                <pic:pic>
                  <pic:nvPicPr>
                    <pic:cNvPr id="40" name="image24.png"/>
                    <pic:cNvPicPr/>
                  </pic:nvPicPr>
                  <pic:blipFill>
                    <a:blip r:embed="rId34" cstate="print"/>
                    <a:stretch>
                      <a:fillRect/>
                    </a:stretch>
                  </pic:blipFill>
                  <pic:spPr>
                    <a:xfrm>
                      <a:off x="0" y="0"/>
                      <a:ext cx="4817460" cy="2571750"/>
                    </a:xfrm>
                    <a:prstGeom prst="rect">
                      <a:avLst/>
                    </a:prstGeom>
                  </pic:spPr>
                </pic:pic>
              </a:graphicData>
            </a:graphic>
          </wp:inline>
        </w:drawing>
      </w:r>
      <w:r>
        <w:rPr>
          <w:sz w:val="20"/>
        </w:rPr>
      </w:r>
    </w:p>
    <w:p>
      <w:pPr>
        <w:pStyle w:val="BodyText"/>
        <w:spacing w:before="6"/>
        <w:rPr>
          <w:sz w:val="5"/>
        </w:rPr>
      </w:pPr>
    </w:p>
    <w:p>
      <w:pPr>
        <w:spacing w:before="70"/>
        <w:ind w:left="0" w:right="19" w:firstLine="0"/>
        <w:jc w:val="center"/>
        <w:rPr>
          <w:b/>
          <w:sz w:val="21"/>
        </w:rPr>
      </w:pPr>
      <w:r>
        <w:rPr>
          <w:b/>
          <w:sz w:val="21"/>
        </w:rPr>
        <w:t>图 2-7 学院近三年省级以上学生竞赛获奖情况示意图</w:t>
      </w:r>
    </w:p>
    <w:p>
      <w:pPr>
        <w:spacing w:before="43"/>
        <w:ind w:left="3281" w:right="42" w:firstLine="0"/>
        <w:jc w:val="center"/>
        <w:rPr>
          <w:b/>
          <w:sz w:val="21"/>
        </w:rPr>
      </w:pPr>
      <w:r>
        <w:rPr/>
        <w:drawing>
          <wp:anchor distT="0" distB="0" distL="0" distR="0" allowOverlap="1" layoutInCell="1" locked="0" behindDoc="0" simplePos="0" relativeHeight="12">
            <wp:simplePos x="0" y="0"/>
            <wp:positionH relativeFrom="page">
              <wp:posOffset>1357883</wp:posOffset>
            </wp:positionH>
            <wp:positionV relativeFrom="paragraph">
              <wp:posOffset>221360</wp:posOffset>
            </wp:positionV>
            <wp:extent cx="4818888" cy="2495550"/>
            <wp:effectExtent l="0" t="0" r="0" b="0"/>
            <wp:wrapTopAndBottom/>
            <wp:docPr id="41" name="image25.png"/>
            <wp:cNvGraphicFramePr>
              <a:graphicFrameLocks noChangeAspect="1"/>
            </wp:cNvGraphicFramePr>
            <a:graphic>
              <a:graphicData uri="http://schemas.openxmlformats.org/drawingml/2006/picture">
                <pic:pic>
                  <pic:nvPicPr>
                    <pic:cNvPr id="42" name="image25.png"/>
                    <pic:cNvPicPr/>
                  </pic:nvPicPr>
                  <pic:blipFill>
                    <a:blip r:embed="rId35" cstate="print"/>
                    <a:stretch>
                      <a:fillRect/>
                    </a:stretch>
                  </pic:blipFill>
                  <pic:spPr>
                    <a:xfrm>
                      <a:off x="0" y="0"/>
                      <a:ext cx="4818888" cy="2495550"/>
                    </a:xfrm>
                    <a:prstGeom prst="rect">
                      <a:avLst/>
                    </a:prstGeom>
                  </pic:spPr>
                </pic:pic>
              </a:graphicData>
            </a:graphic>
          </wp:anchor>
        </w:drawing>
      </w:r>
      <w:r>
        <w:rPr>
          <w:b/>
          <w:sz w:val="21"/>
        </w:rPr>
        <w:t>数据来源：学院 2016—2018 年学生技能竞赛表彰文件(教务处)</w:t>
      </w:r>
    </w:p>
    <w:p>
      <w:pPr>
        <w:spacing w:before="130"/>
        <w:ind w:left="0" w:right="19" w:firstLine="0"/>
        <w:jc w:val="center"/>
        <w:rPr>
          <w:b/>
          <w:sz w:val="21"/>
        </w:rPr>
      </w:pPr>
      <w:r>
        <w:rPr>
          <w:b/>
          <w:sz w:val="21"/>
        </w:rPr>
        <w:t>图 2-8 学院近五年毕业生获得高级职业资格情况示意图</w:t>
      </w:r>
    </w:p>
    <w:p>
      <w:pPr>
        <w:spacing w:before="42"/>
        <w:ind w:left="5893" w:right="42" w:firstLine="0"/>
        <w:jc w:val="center"/>
        <w:rPr>
          <w:b/>
          <w:sz w:val="21"/>
        </w:rPr>
      </w:pPr>
      <w:r>
        <w:rPr>
          <w:b/>
          <w:sz w:val="21"/>
        </w:rPr>
        <w:t>数据来源：学院职业资格鉴定中心</w:t>
      </w:r>
    </w:p>
    <w:p>
      <w:pPr>
        <w:pStyle w:val="Heading2"/>
        <w:spacing w:before="102"/>
        <w:ind w:left="1898" w:firstLine="0"/>
      </w:pPr>
      <w:bookmarkStart w:name="【典型案例4】湖南化工职院学子国赛连夺3金" w:id="61"/>
      <w:bookmarkEnd w:id="61"/>
      <w:r>
        <w:rPr>
          <w:b w:val="0"/>
        </w:rPr>
      </w:r>
      <w:bookmarkStart w:name="_bookmark21" w:id="62"/>
      <w:bookmarkEnd w:id="62"/>
      <w:r>
        <w:rPr>
          <w:b w:val="0"/>
        </w:rPr>
      </w:r>
      <w:r>
        <w:rPr/>
        <w:t>【典型案例 4】湖南化工职院学子国赛连夺 3 金</w:t>
      </w:r>
    </w:p>
    <w:p>
      <w:pPr>
        <w:pStyle w:val="BodyText"/>
        <w:spacing w:before="7"/>
        <w:rPr>
          <w:rFonts w:ascii="黑体"/>
          <w:b/>
          <w:sz w:val="18"/>
        </w:rPr>
      </w:pPr>
    </w:p>
    <w:p>
      <w:pPr>
        <w:pStyle w:val="BodyText"/>
        <w:spacing w:line="364" w:lineRule="auto"/>
        <w:ind w:left="1418" w:right="1297" w:firstLine="472"/>
        <w:jc w:val="both"/>
      </w:pPr>
      <w:r>
        <w:rPr>
          <w:spacing w:val="-5"/>
        </w:rPr>
        <w:t>在参赛选手逾万人的 </w:t>
      </w:r>
      <w:r>
        <w:rPr/>
        <w:t>2018</w:t>
      </w:r>
      <w:r>
        <w:rPr>
          <w:spacing w:val="-7"/>
        </w:rPr>
        <w:t> 年全国职业院校技能大赛中，学院参赛选手摘得三金一</w:t>
      </w:r>
      <w:r>
        <w:rPr>
          <w:spacing w:val="-9"/>
        </w:rPr>
        <w:t>银一铜，位居全省前列。其中，化工生产技术赛项参赛选手钟姻影同学因摘得金牌，技术水平突出，破格晋升技师。在工业分析与检验赛项、数控机床维修与技术改造赛项， 该校也获得高职组团体一等奖。其中，工业分析与检验赛项关联的职业岗位涉及石油、</w:t>
      </w:r>
      <w:r>
        <w:rPr>
          <w:spacing w:val="-8"/>
        </w:rPr>
        <w:t>化工、医药、生物、农业、林业、卫生和防疫等领域，是目前涉及行业最多的赛项。数</w:t>
      </w:r>
      <w:r>
        <w:rPr>
          <w:spacing w:val="-15"/>
        </w:rPr>
        <w:t>控机床维修与技术改造赛项侧重检验参赛者的新技术应用、故障分析与解决技能。此外， </w:t>
      </w:r>
      <w:r>
        <w:rPr>
          <w:spacing w:val="-7"/>
        </w:rPr>
        <w:t>学院学生参加第 </w:t>
      </w:r>
      <w:r>
        <w:rPr/>
        <w:t>45</w:t>
      </w:r>
      <w:r>
        <w:rPr>
          <w:spacing w:val="-10"/>
        </w:rPr>
        <w:t> 届世界技能大赛、各行业技能竞赛等大型竞赛，获得一等奖 </w:t>
      </w:r>
      <w:r>
        <w:rPr/>
        <w:t>3</w:t>
      </w:r>
      <w:r>
        <w:rPr>
          <w:spacing w:val="-17"/>
        </w:rPr>
        <w:t> 项，</w:t>
      </w:r>
    </w:p>
    <w:p>
      <w:pPr>
        <w:pStyle w:val="BodyText"/>
        <w:spacing w:line="302" w:lineRule="exact"/>
        <w:ind w:left="1418"/>
        <w:jc w:val="both"/>
      </w:pPr>
      <w:r>
        <w:rPr/>
        <w:t>二等奖 5 项。</w:t>
      </w:r>
    </w:p>
    <w:p>
      <w:pPr>
        <w:spacing w:after="0" w:line="302" w:lineRule="exact"/>
        <w:jc w:val="both"/>
        <w:sectPr>
          <w:pgSz w:w="11910" w:h="16840"/>
          <w:pgMar w:header="780" w:footer="1241" w:top="1260" w:bottom="1440" w:left="0" w:right="0"/>
        </w:sectPr>
      </w:pPr>
    </w:p>
    <w:p>
      <w:pPr>
        <w:pStyle w:val="BodyText"/>
        <w:spacing w:before="3"/>
        <w:rPr>
          <w:sz w:val="15"/>
        </w:rPr>
      </w:pPr>
    </w:p>
    <w:p>
      <w:pPr>
        <w:pStyle w:val="BodyText"/>
        <w:ind w:left="2613"/>
        <w:rPr>
          <w:sz w:val="20"/>
        </w:rPr>
      </w:pPr>
      <w:r>
        <w:rPr>
          <w:sz w:val="20"/>
        </w:rPr>
        <w:drawing>
          <wp:inline distT="0" distB="0" distL="0" distR="0">
            <wp:extent cx="4249491" cy="2326004"/>
            <wp:effectExtent l="0" t="0" r="0" b="0"/>
            <wp:docPr id="43" name="image26.jpeg"/>
            <wp:cNvGraphicFramePr>
              <a:graphicFrameLocks noChangeAspect="1"/>
            </wp:cNvGraphicFramePr>
            <a:graphic>
              <a:graphicData uri="http://schemas.openxmlformats.org/drawingml/2006/picture">
                <pic:pic>
                  <pic:nvPicPr>
                    <pic:cNvPr id="44" name="image26.jpeg"/>
                    <pic:cNvPicPr/>
                  </pic:nvPicPr>
                  <pic:blipFill>
                    <a:blip r:embed="rId36" cstate="print"/>
                    <a:stretch>
                      <a:fillRect/>
                    </a:stretch>
                  </pic:blipFill>
                  <pic:spPr>
                    <a:xfrm>
                      <a:off x="0" y="0"/>
                      <a:ext cx="4249491" cy="2326004"/>
                    </a:xfrm>
                    <a:prstGeom prst="rect">
                      <a:avLst/>
                    </a:prstGeom>
                  </pic:spPr>
                </pic:pic>
              </a:graphicData>
            </a:graphic>
          </wp:inline>
        </w:drawing>
      </w:r>
      <w:r>
        <w:rPr>
          <w:sz w:val="20"/>
        </w:rPr>
      </w:r>
    </w:p>
    <w:p>
      <w:pPr>
        <w:tabs>
          <w:tab w:pos="791" w:val="left" w:leader="none"/>
        </w:tabs>
        <w:spacing w:before="47"/>
        <w:ind w:left="0" w:right="8" w:firstLine="0"/>
        <w:jc w:val="center"/>
        <w:rPr>
          <w:b/>
          <w:sz w:val="21"/>
        </w:rPr>
      </w:pPr>
      <w:r>
        <w:rPr/>
        <w:drawing>
          <wp:anchor distT="0" distB="0" distL="0" distR="0" allowOverlap="1" layoutInCell="1" locked="0" behindDoc="0" simplePos="0" relativeHeight="13">
            <wp:simplePos x="0" y="0"/>
            <wp:positionH relativeFrom="page">
              <wp:posOffset>1639823</wp:posOffset>
            </wp:positionH>
            <wp:positionV relativeFrom="paragraph">
              <wp:posOffset>266192</wp:posOffset>
            </wp:positionV>
            <wp:extent cx="4290051" cy="2891790"/>
            <wp:effectExtent l="0" t="0" r="0" b="0"/>
            <wp:wrapTopAndBottom/>
            <wp:docPr id="45" name="image27.jpeg"/>
            <wp:cNvGraphicFramePr>
              <a:graphicFrameLocks noChangeAspect="1"/>
            </wp:cNvGraphicFramePr>
            <a:graphic>
              <a:graphicData uri="http://schemas.openxmlformats.org/drawingml/2006/picture">
                <pic:pic>
                  <pic:nvPicPr>
                    <pic:cNvPr id="46" name="image27.jpeg"/>
                    <pic:cNvPicPr/>
                  </pic:nvPicPr>
                  <pic:blipFill>
                    <a:blip r:embed="rId37" cstate="print"/>
                    <a:stretch>
                      <a:fillRect/>
                    </a:stretch>
                  </pic:blipFill>
                  <pic:spPr>
                    <a:xfrm>
                      <a:off x="0" y="0"/>
                      <a:ext cx="4290051" cy="2891790"/>
                    </a:xfrm>
                    <a:prstGeom prst="rect">
                      <a:avLst/>
                    </a:prstGeom>
                  </pic:spPr>
                </pic:pic>
              </a:graphicData>
            </a:graphic>
          </wp:anchor>
        </w:drawing>
      </w:r>
      <w:r>
        <w:rPr>
          <w:b/>
          <w:sz w:val="21"/>
        </w:rPr>
        <w:t>图</w:t>
      </w:r>
      <w:r>
        <w:rPr>
          <w:b/>
          <w:spacing w:val="-52"/>
          <w:sz w:val="21"/>
        </w:rPr>
        <w:t> </w:t>
      </w:r>
      <w:r>
        <w:rPr>
          <w:b/>
          <w:sz w:val="21"/>
        </w:rPr>
        <w:t>2-9</w:t>
        <w:tab/>
        <w:t>“工业分析与检验”项目获全国职业院校技能竞赛高职组团体一等奖</w:t>
      </w:r>
      <w:r>
        <w:rPr>
          <w:b/>
          <w:spacing w:val="3"/>
          <w:sz w:val="21"/>
        </w:rPr>
        <w:t>(</w:t>
      </w:r>
      <w:r>
        <w:rPr>
          <w:b/>
          <w:sz w:val="21"/>
        </w:rPr>
        <w:t>第</w:t>
      </w:r>
      <w:r>
        <w:rPr>
          <w:b/>
          <w:spacing w:val="-54"/>
          <w:sz w:val="21"/>
        </w:rPr>
        <w:t> </w:t>
      </w:r>
      <w:r>
        <w:rPr>
          <w:b/>
          <w:sz w:val="21"/>
        </w:rPr>
        <w:t>2</w:t>
      </w:r>
      <w:r>
        <w:rPr>
          <w:b/>
          <w:spacing w:val="-53"/>
          <w:sz w:val="21"/>
        </w:rPr>
        <w:t> </w:t>
      </w:r>
      <w:r>
        <w:rPr>
          <w:b/>
          <w:sz w:val="21"/>
        </w:rPr>
        <w:t>名)</w:t>
      </w:r>
    </w:p>
    <w:p>
      <w:pPr>
        <w:tabs>
          <w:tab w:pos="897" w:val="left" w:leader="none"/>
        </w:tabs>
        <w:spacing w:before="37"/>
        <w:ind w:left="0" w:right="9" w:firstLine="0"/>
        <w:jc w:val="center"/>
        <w:rPr>
          <w:b/>
          <w:sz w:val="21"/>
        </w:rPr>
      </w:pPr>
      <w:r>
        <w:rPr>
          <w:b/>
          <w:sz w:val="21"/>
        </w:rPr>
        <w:t>图</w:t>
      </w:r>
      <w:r>
        <w:rPr>
          <w:b/>
          <w:spacing w:val="-52"/>
          <w:sz w:val="21"/>
        </w:rPr>
        <w:t> </w:t>
      </w:r>
      <w:r>
        <w:rPr>
          <w:b/>
          <w:sz w:val="21"/>
        </w:rPr>
        <w:t>2-10</w:t>
        <w:tab/>
        <w:t>数控机床维修与技术改造项目获全国职业院校技能竞赛高职组团体一等奖</w:t>
      </w:r>
    </w:p>
    <w:p>
      <w:pPr>
        <w:pStyle w:val="BodyText"/>
        <w:spacing w:before="7"/>
        <w:rPr>
          <w:b/>
          <w:sz w:val="10"/>
        </w:rPr>
      </w:pPr>
      <w:r>
        <w:rPr/>
        <w:drawing>
          <wp:anchor distT="0" distB="0" distL="0" distR="0" allowOverlap="1" layoutInCell="1" locked="0" behindDoc="0" simplePos="0" relativeHeight="14">
            <wp:simplePos x="0" y="0"/>
            <wp:positionH relativeFrom="page">
              <wp:posOffset>1639823</wp:posOffset>
            </wp:positionH>
            <wp:positionV relativeFrom="paragraph">
              <wp:posOffset>111085</wp:posOffset>
            </wp:positionV>
            <wp:extent cx="4293616" cy="2602611"/>
            <wp:effectExtent l="0" t="0" r="0" b="0"/>
            <wp:wrapTopAndBottom/>
            <wp:docPr id="47" name="image28.jpeg"/>
            <wp:cNvGraphicFramePr>
              <a:graphicFrameLocks noChangeAspect="1"/>
            </wp:cNvGraphicFramePr>
            <a:graphic>
              <a:graphicData uri="http://schemas.openxmlformats.org/drawingml/2006/picture">
                <pic:pic>
                  <pic:nvPicPr>
                    <pic:cNvPr id="48" name="image28.jpeg"/>
                    <pic:cNvPicPr/>
                  </pic:nvPicPr>
                  <pic:blipFill>
                    <a:blip r:embed="rId38" cstate="print"/>
                    <a:stretch>
                      <a:fillRect/>
                    </a:stretch>
                  </pic:blipFill>
                  <pic:spPr>
                    <a:xfrm>
                      <a:off x="0" y="0"/>
                      <a:ext cx="4293616" cy="2602611"/>
                    </a:xfrm>
                    <a:prstGeom prst="rect">
                      <a:avLst/>
                    </a:prstGeom>
                  </pic:spPr>
                </pic:pic>
              </a:graphicData>
            </a:graphic>
          </wp:anchor>
        </w:drawing>
      </w:r>
    </w:p>
    <w:p>
      <w:pPr>
        <w:tabs>
          <w:tab w:pos="897" w:val="left" w:leader="none"/>
        </w:tabs>
        <w:spacing w:before="108"/>
        <w:ind w:left="0" w:right="12" w:firstLine="0"/>
        <w:jc w:val="center"/>
        <w:rPr>
          <w:b/>
          <w:sz w:val="21"/>
        </w:rPr>
      </w:pPr>
      <w:r>
        <w:rPr>
          <w:b/>
          <w:sz w:val="21"/>
        </w:rPr>
        <w:t>图</w:t>
      </w:r>
      <w:r>
        <w:rPr>
          <w:b/>
          <w:spacing w:val="-53"/>
          <w:sz w:val="21"/>
        </w:rPr>
        <w:t> </w:t>
      </w:r>
      <w:r>
        <w:rPr>
          <w:b/>
          <w:sz w:val="21"/>
        </w:rPr>
        <w:t>2-11</w:t>
        <w:tab/>
        <w:t>化工生产技术项目获全国职业院校技能竞赛高职组团体一等奖</w:t>
      </w:r>
    </w:p>
    <w:p>
      <w:pPr>
        <w:spacing w:after="0"/>
        <w:jc w:val="center"/>
        <w:rPr>
          <w:sz w:val="21"/>
        </w:rPr>
        <w:sectPr>
          <w:pgSz w:w="11910" w:h="16840"/>
          <w:pgMar w:header="780" w:footer="1241" w:top="1260" w:bottom="1440" w:left="0" w:right="0"/>
        </w:sectPr>
      </w:pPr>
    </w:p>
    <w:p>
      <w:pPr>
        <w:pStyle w:val="Heading2"/>
        <w:numPr>
          <w:ilvl w:val="2"/>
          <w:numId w:val="2"/>
        </w:numPr>
        <w:tabs>
          <w:tab w:pos="2743" w:val="left" w:leader="none"/>
          <w:tab w:pos="2744" w:val="left" w:leader="none"/>
        </w:tabs>
        <w:spacing w:line="240" w:lineRule="auto" w:before="141" w:after="0"/>
        <w:ind w:left="2743" w:right="0" w:hanging="846"/>
        <w:jc w:val="left"/>
      </w:pPr>
      <w:bookmarkStart w:name="2.2.2  工匠精神凸显" w:id="63"/>
      <w:bookmarkEnd w:id="63"/>
      <w:r>
        <w:rPr>
          <w:b w:val="0"/>
        </w:rPr>
      </w:r>
      <w:bookmarkStart w:name="_bookmark22" w:id="64"/>
      <w:bookmarkEnd w:id="64"/>
      <w:r>
        <w:rPr>
          <w:b w:val="0"/>
        </w:rPr>
      </w:r>
      <w:bookmarkStart w:name="_bookmark22" w:id="65"/>
      <w:bookmarkEnd w:id="65"/>
      <w:r>
        <w:rPr/>
        <w:t>工匠精神凸显</w:t>
      </w:r>
    </w:p>
    <w:p>
      <w:pPr>
        <w:pStyle w:val="BodyText"/>
        <w:spacing w:before="6"/>
        <w:rPr>
          <w:rFonts w:ascii="黑体"/>
          <w:b/>
          <w:sz w:val="18"/>
        </w:rPr>
      </w:pPr>
    </w:p>
    <w:p>
      <w:pPr>
        <w:pStyle w:val="BodyText"/>
        <w:spacing w:line="364" w:lineRule="auto"/>
        <w:ind w:left="1418" w:right="1417" w:firstLine="480"/>
        <w:jc w:val="both"/>
      </w:pPr>
      <w:r>
        <w:rPr>
          <w:spacing w:val="-5"/>
        </w:rPr>
        <w:t>劳模精神和工匠精神是高素质技术技能型人才的“精神之钙”。崇尚劳动、尊重劳</w:t>
      </w:r>
      <w:r>
        <w:rPr>
          <w:spacing w:val="-9"/>
        </w:rPr>
        <w:t>动价值，既是马克思主义价值观的核心内容，也是中华传统美德，劳模精神与工匠精神</w:t>
      </w:r>
      <w:r>
        <w:rPr>
          <w:spacing w:val="-6"/>
        </w:rPr>
        <w:t>是与之一脉相承的时代精神。劳模精神体现为“爱岗敬业、争做一流、艰苦奋斗、勇于</w:t>
      </w:r>
      <w:r>
        <w:rPr>
          <w:spacing w:val="-10"/>
        </w:rPr>
        <w:t>创新、淡泊名利、敢于奉献”，是新时代发展中国特色社会主义的重要精神力量；工匠</w:t>
      </w:r>
      <w:r>
        <w:rPr>
          <w:spacing w:val="-4"/>
        </w:rPr>
        <w:t>精神体现为“精益求精、注重细节、一丝不苟、专注坚持、专业敬业”，是推进产业升</w:t>
      </w:r>
      <w:r>
        <w:rPr>
          <w:spacing w:val="-9"/>
        </w:rPr>
        <w:t>级、提升国家形象的迫切需要，是正确价值导向。弘扬劳模精神、工匠精神是培育践行</w:t>
      </w:r>
      <w:r>
        <w:rPr/>
        <w:t>社会主义核心价值观的重要环节。</w:t>
      </w:r>
    </w:p>
    <w:p>
      <w:pPr>
        <w:pStyle w:val="BodyText"/>
        <w:spacing w:line="364" w:lineRule="auto"/>
        <w:ind w:left="1418" w:right="1297" w:firstLine="480"/>
      </w:pPr>
      <w:r>
        <w:rPr>
          <w:spacing w:val="-4"/>
        </w:rPr>
        <w:t>工匠精神其价值在于精益求精，对匠心、精品的坚持和追求，同时，工匠精神又不</w:t>
      </w:r>
      <w:r>
        <w:rPr>
          <w:spacing w:val="-8"/>
        </w:rPr>
        <w:t>是一味的传承，其中又蕴含着创新创造的因子。工匠精神与创新意识应贯穿于教学全过</w:t>
      </w:r>
      <w:r>
        <w:rPr>
          <w:spacing w:val="-7"/>
        </w:rPr>
        <w:t>程，以工匠精神作为基础，以创新意识作为引领，让学生在获得工具性能力的同时开启</w:t>
      </w:r>
      <w:r>
        <w:rPr>
          <w:spacing w:val="-17"/>
        </w:rPr>
        <w:t>富含技术的精神资源，真正懂得技术技能的实质。一是在教学设计环节中体现工匠精神。</w:t>
      </w:r>
      <w:r>
        <w:rPr>
          <w:spacing w:val="-3"/>
        </w:rPr>
        <w:t>以创新创业项目真实问题为载体，引导学生进行个性化配方设计，并进行多次协作探究</w:t>
      </w:r>
      <w:r>
        <w:rPr>
          <w:spacing w:val="-15"/>
        </w:rPr>
        <w:t>改进，反复验证，以创造最优产品和最佳效果为目标，在教学评价设计中严格按照行业、</w:t>
      </w:r>
      <w:r>
        <w:rPr>
          <w:spacing w:val="-6"/>
        </w:rPr>
        <w:t>专业标准，以培养学生精益求精、追求卓越的匠心及敏锐创意、精雕细琢、不断精进的</w:t>
      </w:r>
      <w:r>
        <w:rPr>
          <w:spacing w:val="-9"/>
        </w:rPr>
        <w:t>创新意识。二是在教学策略中渗透工匠精神，在实践教学中，模拟真实的企业工作场景</w:t>
      </w:r>
      <w:r>
        <w:rPr>
          <w:spacing w:val="-10"/>
        </w:rPr>
        <w:t>与职业活动，把专业、知识、技能、职业素养的要求提炼渗透到课程与课堂中去，形成</w:t>
      </w:r>
      <w:r>
        <w:rPr>
          <w:spacing w:val="-4"/>
        </w:rPr>
        <w:t>对学生知识、技能与职业素养的三维一体培养。这种以各种典型生产案例为载体，“教</w:t>
      </w:r>
      <w:r>
        <w:rPr>
          <w:spacing w:val="-8"/>
        </w:rPr>
        <w:t>学做研”一体的教学模式，学生创新能力大幅度提升，积极参与各项创新创业大赛并获</w:t>
      </w:r>
      <w:r>
        <w:rPr>
          <w:spacing w:val="-9"/>
        </w:rPr>
        <w:t>得佳绩；并通过强化实践活动中工匠精神的渗透，为学生营造良好的职业氛围，学生职业素养及技术技能也获得了大幅度提升。</w:t>
      </w:r>
    </w:p>
    <w:p>
      <w:pPr>
        <w:pStyle w:val="Heading2"/>
        <w:spacing w:before="68"/>
        <w:ind w:left="1898" w:firstLine="0"/>
      </w:pPr>
      <w:bookmarkStart w:name="【典型案例5】五一劳动奖章背后的年轻夫妇筑梦匠心" w:id="66"/>
      <w:bookmarkEnd w:id="66"/>
      <w:r>
        <w:rPr>
          <w:b w:val="0"/>
        </w:rPr>
      </w:r>
      <w:bookmarkStart w:name="_bookmark23" w:id="67"/>
      <w:bookmarkEnd w:id="67"/>
      <w:r>
        <w:rPr>
          <w:b w:val="0"/>
        </w:rPr>
      </w:r>
      <w:r>
        <w:rPr/>
        <w:t>【典型案例 5】五一劳动奖章背后的年轻夫妇筑梦匠心</w:t>
      </w:r>
    </w:p>
    <w:p>
      <w:pPr>
        <w:pStyle w:val="BodyText"/>
        <w:spacing w:before="6"/>
        <w:rPr>
          <w:rFonts w:ascii="黑体"/>
          <w:b/>
          <w:sz w:val="18"/>
        </w:rPr>
      </w:pPr>
    </w:p>
    <w:p>
      <w:pPr>
        <w:pStyle w:val="BodyText"/>
        <w:spacing w:line="364" w:lineRule="auto"/>
        <w:ind w:left="1418" w:right="1297" w:firstLine="480"/>
      </w:pPr>
      <w:r>
        <w:rPr>
          <w:color w:val="3366FF"/>
          <w:spacing w:val="-5"/>
        </w:rPr>
        <w:t>年轻的何志学和卢益辉夫妇 </w:t>
      </w:r>
      <w:r>
        <w:rPr>
          <w:color w:val="3366FF"/>
        </w:rPr>
        <w:t>2011</w:t>
      </w:r>
      <w:r>
        <w:rPr>
          <w:color w:val="3366FF"/>
          <w:spacing w:val="-8"/>
        </w:rPr>
        <w:t> 年从湖南化工职业技术学院毕业后，带着对电气</w:t>
      </w:r>
      <w:r>
        <w:rPr>
          <w:color w:val="3366FF"/>
          <w:spacing w:val="-16"/>
        </w:rPr>
        <w:t>行业的热爱，就职于江西铜业集团有限公司下属选矿厂，在公司基层从事仪表电气工作。</w:t>
      </w:r>
      <w:r>
        <w:rPr>
          <w:color w:val="3366FF"/>
          <w:spacing w:val="-5"/>
        </w:rPr>
        <w:t>为钻研专业技能，两人在不大的本就狭窄的房间辟出空间，鼓捣专业、练习技能，快速</w:t>
      </w:r>
      <w:r>
        <w:rPr>
          <w:color w:val="3366FF"/>
          <w:spacing w:val="-9"/>
        </w:rPr>
        <w:t>成长为公司业务骨干。在江西省铜行业仪表工技术比武中，夫妻俩一举包揽了仪表工比</w:t>
      </w:r>
      <w:r>
        <w:rPr>
          <w:color w:val="3366FF"/>
          <w:spacing w:val="-16"/>
        </w:rPr>
        <w:t>赛的冠亚军，何志学被授予“江西省五一劳动奖章”可谓技惊四座！公司领导高度评价： </w:t>
      </w:r>
      <w:r>
        <w:rPr>
          <w:color w:val="3366FF"/>
          <w:spacing w:val="-4"/>
        </w:rPr>
        <w:t>何志学夫妇执着技术、热衷创新，通过刻苦钻研，为江铜采选冶技术指标的全面提升和</w:t>
      </w:r>
    </w:p>
    <w:p>
      <w:pPr>
        <w:spacing w:after="0" w:line="364" w:lineRule="auto"/>
        <w:sectPr>
          <w:pgSz w:w="11910" w:h="16840"/>
          <w:pgMar w:header="780" w:footer="1241" w:top="1260" w:bottom="1440" w:left="0" w:right="0"/>
        </w:sectPr>
      </w:pPr>
    </w:p>
    <w:p>
      <w:pPr>
        <w:pStyle w:val="BodyText"/>
        <w:spacing w:line="362" w:lineRule="auto" w:before="141" w:after="4"/>
        <w:ind w:left="1418" w:right="1366"/>
      </w:pPr>
      <w:r>
        <w:rPr>
          <w:color w:val="3366FF"/>
        </w:rPr>
        <w:t>企业提质增效树立了榜样。而何志学却说，匠心，不是烫金的荣誉证书，也不仅是精湛的技术技艺，还应该在企业危难时刻挺身而出、有报效家国的情怀和担当。</w:t>
      </w:r>
    </w:p>
    <w:p>
      <w:pPr>
        <w:pStyle w:val="BodyText"/>
        <w:ind w:left="2517"/>
        <w:rPr>
          <w:sz w:val="20"/>
        </w:rPr>
      </w:pPr>
      <w:r>
        <w:rPr>
          <w:sz w:val="20"/>
        </w:rPr>
        <w:drawing>
          <wp:inline distT="0" distB="0" distL="0" distR="0">
            <wp:extent cx="4372353" cy="2655188"/>
            <wp:effectExtent l="0" t="0" r="0" b="0"/>
            <wp:docPr id="49" name="image29.jpeg"/>
            <wp:cNvGraphicFramePr>
              <a:graphicFrameLocks noChangeAspect="1"/>
            </wp:cNvGraphicFramePr>
            <a:graphic>
              <a:graphicData uri="http://schemas.openxmlformats.org/drawingml/2006/picture">
                <pic:pic>
                  <pic:nvPicPr>
                    <pic:cNvPr id="50" name="image29.jpeg"/>
                    <pic:cNvPicPr/>
                  </pic:nvPicPr>
                  <pic:blipFill>
                    <a:blip r:embed="rId39" cstate="print"/>
                    <a:stretch>
                      <a:fillRect/>
                    </a:stretch>
                  </pic:blipFill>
                  <pic:spPr>
                    <a:xfrm>
                      <a:off x="0" y="0"/>
                      <a:ext cx="4372353" cy="2655188"/>
                    </a:xfrm>
                    <a:prstGeom prst="rect">
                      <a:avLst/>
                    </a:prstGeom>
                  </pic:spPr>
                </pic:pic>
              </a:graphicData>
            </a:graphic>
          </wp:inline>
        </w:drawing>
      </w:r>
      <w:r>
        <w:rPr>
          <w:sz w:val="20"/>
        </w:rPr>
      </w:r>
    </w:p>
    <w:p>
      <w:pPr>
        <w:tabs>
          <w:tab w:pos="905" w:val="left" w:leader="none"/>
        </w:tabs>
        <w:spacing w:before="145"/>
        <w:ind w:left="7" w:right="0" w:firstLine="0"/>
        <w:jc w:val="center"/>
        <w:rPr>
          <w:b/>
          <w:sz w:val="21"/>
        </w:rPr>
      </w:pPr>
      <w:r>
        <w:rPr>
          <w:b/>
          <w:sz w:val="21"/>
        </w:rPr>
        <w:t>图</w:t>
      </w:r>
      <w:r>
        <w:rPr>
          <w:b/>
          <w:spacing w:val="-52"/>
          <w:sz w:val="21"/>
        </w:rPr>
        <w:t> </w:t>
      </w:r>
      <w:r>
        <w:rPr>
          <w:b/>
          <w:sz w:val="21"/>
        </w:rPr>
        <w:t>2-12</w:t>
        <w:tab/>
        <w:t>何志学在岗位工作</w:t>
      </w:r>
    </w:p>
    <w:p>
      <w:pPr>
        <w:pStyle w:val="BodyText"/>
        <w:spacing w:before="10"/>
        <w:rPr>
          <w:b/>
          <w:sz w:val="7"/>
        </w:rPr>
      </w:pPr>
      <w:r>
        <w:rPr/>
        <w:drawing>
          <wp:anchor distT="0" distB="0" distL="0" distR="0" allowOverlap="1" layoutInCell="1" locked="0" behindDoc="0" simplePos="0" relativeHeight="15">
            <wp:simplePos x="0" y="0"/>
            <wp:positionH relativeFrom="page">
              <wp:posOffset>1583436</wp:posOffset>
            </wp:positionH>
            <wp:positionV relativeFrom="paragraph">
              <wp:posOffset>88352</wp:posOffset>
            </wp:positionV>
            <wp:extent cx="4431588" cy="2895980"/>
            <wp:effectExtent l="0" t="0" r="0" b="0"/>
            <wp:wrapTopAndBottom/>
            <wp:docPr id="51" name="image30.jpeg"/>
            <wp:cNvGraphicFramePr>
              <a:graphicFrameLocks noChangeAspect="1"/>
            </wp:cNvGraphicFramePr>
            <a:graphic>
              <a:graphicData uri="http://schemas.openxmlformats.org/drawingml/2006/picture">
                <pic:pic>
                  <pic:nvPicPr>
                    <pic:cNvPr id="52" name="image30.jpeg"/>
                    <pic:cNvPicPr/>
                  </pic:nvPicPr>
                  <pic:blipFill>
                    <a:blip r:embed="rId40" cstate="print"/>
                    <a:stretch>
                      <a:fillRect/>
                    </a:stretch>
                  </pic:blipFill>
                  <pic:spPr>
                    <a:xfrm>
                      <a:off x="0" y="0"/>
                      <a:ext cx="4431588" cy="2895980"/>
                    </a:xfrm>
                    <a:prstGeom prst="rect">
                      <a:avLst/>
                    </a:prstGeom>
                  </pic:spPr>
                </pic:pic>
              </a:graphicData>
            </a:graphic>
          </wp:anchor>
        </w:drawing>
      </w:r>
    </w:p>
    <w:p>
      <w:pPr>
        <w:tabs>
          <w:tab w:pos="907" w:val="left" w:leader="none"/>
        </w:tabs>
        <w:spacing w:before="88"/>
        <w:ind w:left="12" w:right="0" w:firstLine="0"/>
        <w:jc w:val="center"/>
        <w:rPr>
          <w:b/>
          <w:sz w:val="21"/>
        </w:rPr>
      </w:pPr>
      <w:r>
        <w:rPr>
          <w:b/>
          <w:sz w:val="21"/>
        </w:rPr>
        <w:t>图</w:t>
      </w:r>
      <w:r>
        <w:rPr>
          <w:b/>
          <w:spacing w:val="-55"/>
          <w:sz w:val="21"/>
        </w:rPr>
        <w:t> </w:t>
      </w:r>
      <w:r>
        <w:rPr>
          <w:b/>
          <w:sz w:val="21"/>
        </w:rPr>
        <w:t>2-13</w:t>
        <w:tab/>
        <w:t>何志学、卢益辉夫妇获奖后合影</w:t>
      </w:r>
    </w:p>
    <w:p>
      <w:pPr>
        <w:pStyle w:val="BodyText"/>
        <w:spacing w:before="1"/>
        <w:rPr>
          <w:b/>
          <w:sz w:val="17"/>
        </w:rPr>
      </w:pPr>
    </w:p>
    <w:p>
      <w:pPr>
        <w:pStyle w:val="Heading2"/>
        <w:ind w:left="1898" w:firstLine="0"/>
      </w:pPr>
      <w:bookmarkStart w:name="【典型案例6】扎根西藏 勤勉工作 无私奉献" w:id="68"/>
      <w:bookmarkEnd w:id="68"/>
      <w:r>
        <w:rPr>
          <w:b w:val="0"/>
        </w:rPr>
      </w:r>
      <w:bookmarkStart w:name="_bookmark24" w:id="69"/>
      <w:bookmarkEnd w:id="69"/>
      <w:r>
        <w:rPr>
          <w:b w:val="0"/>
        </w:rPr>
      </w:r>
      <w:r>
        <w:rPr/>
        <w:t>【典型案例 6】扎根西藏 勤勉工作 无私奉献</w:t>
      </w:r>
    </w:p>
    <w:p>
      <w:pPr>
        <w:pStyle w:val="BodyText"/>
        <w:spacing w:before="4"/>
        <w:rPr>
          <w:rFonts w:ascii="黑体"/>
          <w:b/>
          <w:sz w:val="18"/>
        </w:rPr>
      </w:pPr>
    </w:p>
    <w:p>
      <w:pPr>
        <w:pStyle w:val="BodyText"/>
        <w:spacing w:line="364" w:lineRule="auto"/>
        <w:ind w:left="1418" w:right="1417" w:firstLine="480"/>
        <w:jc w:val="both"/>
      </w:pPr>
      <w:r>
        <w:rPr>
          <w:color w:val="3366FF"/>
          <w:spacing w:val="-10"/>
        </w:rPr>
        <w:t>谌翠霞同志 </w:t>
      </w:r>
      <w:r>
        <w:rPr>
          <w:color w:val="3366FF"/>
        </w:rPr>
        <w:t>2011</w:t>
      </w:r>
      <w:r>
        <w:rPr>
          <w:color w:val="3366FF"/>
          <w:spacing w:val="-12"/>
        </w:rPr>
        <w:t> 年毕业于湖南化工职院会计 </w:t>
      </w:r>
      <w:r>
        <w:rPr>
          <w:color w:val="3366FF"/>
        </w:rPr>
        <w:t>0811</w:t>
      </w:r>
      <w:r>
        <w:rPr>
          <w:color w:val="3366FF"/>
          <w:spacing w:val="-13"/>
        </w:rPr>
        <w:t> 班，现任中国太平洋财产保险股</w:t>
      </w:r>
      <w:r>
        <w:rPr>
          <w:color w:val="3366FF"/>
        </w:rPr>
        <w:t>份公司西藏分公司见习总监、计划财务部总经理及人力资源负责人(兼)。</w:t>
      </w:r>
    </w:p>
    <w:p>
      <w:pPr>
        <w:pStyle w:val="BodyText"/>
        <w:spacing w:line="364" w:lineRule="auto"/>
        <w:ind w:left="1418" w:right="1417" w:firstLine="480"/>
        <w:jc w:val="both"/>
      </w:pPr>
      <w:r>
        <w:rPr>
          <w:color w:val="3366FF"/>
        </w:rPr>
        <w:t>2011</w:t>
      </w:r>
      <w:r>
        <w:rPr>
          <w:color w:val="3366FF"/>
          <w:spacing w:val="-15"/>
        </w:rPr>
        <w:t> 年毕业后，经过岗位锻炼积累经验后进行二次择业，顺利入职央企、世界五百</w:t>
      </w:r>
      <w:r>
        <w:rPr>
          <w:color w:val="3366FF"/>
          <w:spacing w:val="-9"/>
        </w:rPr>
        <w:t>强、国内第一大保险公司——人保财险西藏分公司财务部。</w:t>
      </w:r>
      <w:r>
        <w:rPr>
          <w:color w:val="3366FF"/>
        </w:rPr>
        <w:t>2013</w:t>
      </w:r>
      <w:r>
        <w:rPr>
          <w:color w:val="3366FF"/>
          <w:spacing w:val="-40"/>
        </w:rPr>
        <w:t> 年 </w:t>
      </w:r>
      <w:r>
        <w:rPr>
          <w:color w:val="3366FF"/>
        </w:rPr>
        <w:t>7</w:t>
      </w:r>
      <w:r>
        <w:rPr>
          <w:color w:val="3366FF"/>
          <w:spacing w:val="-9"/>
        </w:rPr>
        <w:t> 月进入太保西藏分</w:t>
      </w:r>
      <w:r>
        <w:rPr>
          <w:color w:val="3366FF"/>
          <w:spacing w:val="-8"/>
        </w:rPr>
        <w:t>公司，工作上勤于学习，始终保持良好的工作作风，即便在怀孕休假、生病期间，对工</w:t>
      </w:r>
    </w:p>
    <w:p>
      <w:pPr>
        <w:spacing w:after="0" w:line="364" w:lineRule="auto"/>
        <w:jc w:val="both"/>
        <w:sectPr>
          <w:pgSz w:w="11910" w:h="16840"/>
          <w:pgMar w:header="780" w:footer="1241" w:top="1260" w:bottom="1440" w:left="0" w:right="0"/>
        </w:sectPr>
      </w:pPr>
    </w:p>
    <w:p>
      <w:pPr>
        <w:pStyle w:val="BodyText"/>
        <w:spacing w:line="364" w:lineRule="auto" w:before="141"/>
        <w:ind w:left="1418" w:right="1417"/>
        <w:jc w:val="both"/>
      </w:pPr>
      <w:r>
        <w:rPr>
          <w:color w:val="3366FF"/>
          <w:spacing w:val="-9"/>
        </w:rPr>
        <w:t>作“不抛弃、不放弃”，仍然通宵达旦的远程带新人及指导解决分公司财务部遇到的各</w:t>
      </w:r>
      <w:r>
        <w:rPr>
          <w:color w:val="3366FF"/>
          <w:spacing w:val="-6"/>
        </w:rPr>
        <w:t>项问题及困难。把工作当事业，将真感情和情怀融入工作，在工作中取得了优异成绩及</w:t>
      </w:r>
      <w:r>
        <w:rPr>
          <w:color w:val="3366FF"/>
          <w:spacing w:val="-8"/>
        </w:rPr>
        <w:t>做出了突出贡献。生动的诠释了“海拔高、工作标准更高，气压低，要求不放低，艰苦</w:t>
      </w:r>
      <w:r>
        <w:rPr>
          <w:color w:val="3366FF"/>
          <w:spacing w:val="-5"/>
        </w:rPr>
        <w:t>不怕吃苦，缺氧不缺精神”的西藏精神，得到了集团和总公司的高度评价。</w:t>
      </w:r>
      <w:r>
        <w:rPr>
          <w:color w:val="3366FF"/>
        </w:rPr>
        <w:t>2013</w:t>
      </w:r>
      <w:r>
        <w:rPr>
          <w:color w:val="3366FF"/>
          <w:spacing w:val="-10"/>
        </w:rPr>
        <w:t>、</w:t>
      </w:r>
      <w:r>
        <w:rPr>
          <w:color w:val="3366FF"/>
          <w:spacing w:val="-5"/>
        </w:rPr>
        <w:t>2014 </w:t>
      </w:r>
      <w:r>
        <w:rPr>
          <w:color w:val="3366FF"/>
          <w:spacing w:val="-6"/>
        </w:rPr>
        <w:t>年荣获太保产险西藏分公司“先进个人”称号；2017</w:t>
      </w:r>
      <w:r>
        <w:rPr>
          <w:color w:val="3366FF"/>
          <w:spacing w:val="-11"/>
        </w:rPr>
        <w:t> 年荣获太保产险西藏分公司“优秀</w:t>
      </w:r>
      <w:r>
        <w:rPr>
          <w:color w:val="3366FF"/>
          <w:spacing w:val="-15"/>
        </w:rPr>
        <w:t>党员”称号；2017</w:t>
      </w:r>
      <w:r>
        <w:rPr>
          <w:color w:val="3366FF"/>
          <w:spacing w:val="-17"/>
        </w:rPr>
        <w:t> 年荣获太保产险总公司财务部“电子发票优秀个人卓越奖”称号；</w:t>
      </w:r>
      <w:r>
        <w:rPr>
          <w:color w:val="3366FF"/>
          <w:spacing w:val="-18"/>
        </w:rPr>
        <w:t>2018 </w:t>
      </w:r>
      <w:r>
        <w:rPr>
          <w:color w:val="3366FF"/>
          <w:spacing w:val="-30"/>
        </w:rPr>
        <w:t>年 </w:t>
      </w:r>
      <w:r>
        <w:rPr>
          <w:color w:val="3366FF"/>
        </w:rPr>
        <w:t>6</w:t>
      </w:r>
      <w:r>
        <w:rPr>
          <w:color w:val="3366FF"/>
          <w:spacing w:val="-13"/>
        </w:rPr>
        <w:t> 月太保集团荣获年度“杰出个人”称号(最高荣誉)；</w:t>
      </w:r>
      <w:r>
        <w:rPr>
          <w:color w:val="3366FF"/>
          <w:spacing w:val="-6"/>
        </w:rPr>
        <w:t>2018</w:t>
      </w:r>
      <w:r>
        <w:rPr>
          <w:color w:val="3366FF"/>
          <w:spacing w:val="-40"/>
        </w:rPr>
        <w:t> 年 </w:t>
      </w:r>
      <w:r>
        <w:rPr>
          <w:color w:val="3366FF"/>
        </w:rPr>
        <w:t>7</w:t>
      </w:r>
      <w:r>
        <w:rPr>
          <w:color w:val="3366FF"/>
          <w:spacing w:val="-9"/>
        </w:rPr>
        <w:t> 月荣获太保产险年度</w:t>
      </w:r>
      <w:r>
        <w:rPr>
          <w:color w:val="3366FF"/>
        </w:rPr>
        <w:t>“杰出个人”称号(最高荣誉)。</w:t>
      </w:r>
    </w:p>
    <w:p>
      <w:pPr>
        <w:pStyle w:val="BodyText"/>
        <w:ind w:left="1800"/>
        <w:rPr>
          <w:sz w:val="20"/>
        </w:rPr>
      </w:pPr>
      <w:r>
        <w:rPr>
          <w:sz w:val="20"/>
        </w:rPr>
        <w:drawing>
          <wp:inline distT="0" distB="0" distL="0" distR="0">
            <wp:extent cx="5258313" cy="3503009"/>
            <wp:effectExtent l="0" t="0" r="0" b="0"/>
            <wp:docPr id="53" name="image31.jpeg"/>
            <wp:cNvGraphicFramePr>
              <a:graphicFrameLocks noChangeAspect="1"/>
            </wp:cNvGraphicFramePr>
            <a:graphic>
              <a:graphicData uri="http://schemas.openxmlformats.org/drawingml/2006/picture">
                <pic:pic>
                  <pic:nvPicPr>
                    <pic:cNvPr id="54" name="image31.jpeg"/>
                    <pic:cNvPicPr/>
                  </pic:nvPicPr>
                  <pic:blipFill>
                    <a:blip r:embed="rId41" cstate="print"/>
                    <a:stretch>
                      <a:fillRect/>
                    </a:stretch>
                  </pic:blipFill>
                  <pic:spPr>
                    <a:xfrm>
                      <a:off x="0" y="0"/>
                      <a:ext cx="5258313" cy="3503009"/>
                    </a:xfrm>
                    <a:prstGeom prst="rect">
                      <a:avLst/>
                    </a:prstGeom>
                  </pic:spPr>
                </pic:pic>
              </a:graphicData>
            </a:graphic>
          </wp:inline>
        </w:drawing>
      </w:r>
      <w:r>
        <w:rPr>
          <w:sz w:val="20"/>
        </w:rPr>
      </w:r>
    </w:p>
    <w:p>
      <w:pPr>
        <w:tabs>
          <w:tab w:pos="908" w:val="left" w:leader="none"/>
        </w:tabs>
        <w:spacing w:before="165"/>
        <w:ind w:left="11" w:right="0" w:firstLine="0"/>
        <w:jc w:val="center"/>
        <w:rPr>
          <w:b/>
          <w:sz w:val="21"/>
        </w:rPr>
      </w:pPr>
      <w:r>
        <w:rPr>
          <w:b/>
          <w:sz w:val="21"/>
        </w:rPr>
        <w:t>图</w:t>
      </w:r>
      <w:r>
        <w:rPr>
          <w:b/>
          <w:spacing w:val="-55"/>
          <w:sz w:val="21"/>
        </w:rPr>
        <w:t> </w:t>
      </w:r>
      <w:r>
        <w:rPr>
          <w:b/>
          <w:sz w:val="21"/>
        </w:rPr>
        <w:t>2-14</w:t>
        <w:tab/>
        <w:t>谌翠霞在工作岗位(右三)</w:t>
      </w:r>
    </w:p>
    <w:p>
      <w:pPr>
        <w:pStyle w:val="BodyText"/>
        <w:spacing w:before="1"/>
        <w:rPr>
          <w:b/>
          <w:sz w:val="17"/>
        </w:rPr>
      </w:pPr>
    </w:p>
    <w:p>
      <w:pPr>
        <w:pStyle w:val="Heading2"/>
        <w:ind w:left="1898" w:firstLine="0"/>
      </w:pPr>
      <w:bookmarkStart w:name="【典型案例7】一个新世纪青年劳模的风采" w:id="70"/>
      <w:bookmarkEnd w:id="70"/>
      <w:r>
        <w:rPr>
          <w:b w:val="0"/>
        </w:rPr>
      </w:r>
      <w:bookmarkStart w:name="_bookmark25" w:id="71"/>
      <w:bookmarkEnd w:id="71"/>
      <w:r>
        <w:rPr>
          <w:b w:val="0"/>
        </w:rPr>
      </w:r>
      <w:r>
        <w:rPr/>
        <w:t>【典型案例 7】一个新世纪青年劳模的风采</w:t>
      </w:r>
    </w:p>
    <w:p>
      <w:pPr>
        <w:pStyle w:val="BodyText"/>
        <w:spacing w:before="9"/>
        <w:rPr>
          <w:rFonts w:ascii="黑体"/>
          <w:b/>
        </w:rPr>
      </w:pPr>
    </w:p>
    <w:p>
      <w:pPr>
        <w:pStyle w:val="BodyText"/>
        <w:spacing w:line="364" w:lineRule="auto"/>
        <w:ind w:left="1418" w:right="1453" w:firstLine="480"/>
        <w:jc w:val="both"/>
      </w:pPr>
      <w:r>
        <w:rPr>
          <w:color w:val="3366FF"/>
          <w:spacing w:val="-4"/>
        </w:rPr>
        <w:t>刘健，</w:t>
      </w:r>
      <w:r>
        <w:rPr>
          <w:color w:val="3366FF"/>
          <w:spacing w:val="-11"/>
        </w:rPr>
        <w:t>2010 年毕业于湖南化工职业技术学院数控技术专业，加入楚天科技后，</w:t>
      </w:r>
      <w:r>
        <w:rPr>
          <w:color w:val="3366FF"/>
          <w:spacing w:val="-14"/>
        </w:rPr>
        <w:t>2012 </w:t>
      </w:r>
      <w:r>
        <w:rPr>
          <w:color w:val="3366FF"/>
          <w:spacing w:val="-4"/>
        </w:rPr>
        <w:t>年刘健代表楚天科技在长沙市职工职业技能竞赛中夺得数控维修与调试项目第二名，同年参加湖南省第四届职工职业技能大赛获得数控维修与调试项目第四名，为公司争得了</w:t>
      </w:r>
      <w:r>
        <w:rPr>
          <w:color w:val="3366FF"/>
        </w:rPr>
        <w:t>荣誉，受到公司器重。2014</w:t>
      </w:r>
      <w:r>
        <w:rPr>
          <w:color w:val="3366FF"/>
          <w:spacing w:val="-4"/>
        </w:rPr>
        <w:t> 年“五一”前夕，经过层层推荐选拔，刘健作为企业一线</w:t>
      </w:r>
      <w:r>
        <w:rPr>
          <w:color w:val="3366FF"/>
          <w:spacing w:val="-11"/>
        </w:rPr>
        <w:t>职工的代表之一喜获“长沙市劳动模范”称号，并得到了省市领导的亲切接见。刘健还</w:t>
      </w:r>
      <w:r>
        <w:rPr>
          <w:color w:val="3366FF"/>
          <w:spacing w:val="-7"/>
        </w:rPr>
        <w:t>荣获了长沙市技术能手、长沙市青年岗位能手、长沙市最美劳动者、湖南省最美丽劳动</w:t>
      </w:r>
      <w:r>
        <w:rPr>
          <w:color w:val="3366FF"/>
        </w:rPr>
        <w:t>者等荣誉。</w:t>
      </w:r>
    </w:p>
    <w:p>
      <w:pPr>
        <w:spacing w:after="0" w:line="364" w:lineRule="auto"/>
        <w:jc w:val="both"/>
        <w:sectPr>
          <w:pgSz w:w="11910" w:h="16840"/>
          <w:pgMar w:header="780" w:footer="1241" w:top="1260" w:bottom="1440" w:left="0" w:right="0"/>
        </w:sectPr>
      </w:pPr>
    </w:p>
    <w:p>
      <w:pPr>
        <w:pStyle w:val="BodyText"/>
        <w:rPr>
          <w:sz w:val="12"/>
        </w:rPr>
      </w:pPr>
    </w:p>
    <w:p>
      <w:pPr>
        <w:pStyle w:val="BodyText"/>
        <w:spacing w:line="364" w:lineRule="auto" w:before="66"/>
        <w:ind w:left="1418" w:right="1454" w:firstLine="480"/>
        <w:jc w:val="both"/>
      </w:pPr>
      <w:r>
        <w:rPr>
          <w:color w:val="3366FF"/>
        </w:rPr>
        <w:t>在大学期间，刘健就是一个技术尖子。2009</w:t>
      </w:r>
      <w:r>
        <w:rPr>
          <w:color w:val="3366FF"/>
          <w:spacing w:val="-4"/>
        </w:rPr>
        <w:t> 年，他在尹霞和张军老师的指导下， </w:t>
      </w:r>
      <w:r>
        <w:rPr>
          <w:color w:val="3366FF"/>
          <w:spacing w:val="-9"/>
        </w:rPr>
        <w:t>参加湖南省职业院校技能大赛和全国职业院校技能大赛，获得二等奖。在刘健看来，工</w:t>
      </w:r>
      <w:r>
        <w:rPr>
          <w:color w:val="3366FF"/>
          <w:spacing w:val="-6"/>
        </w:rPr>
        <w:t>匠精神就是对经手的每一个零部件负责，加工出它们的特点，赋予其生命。在楚天科技</w:t>
      </w:r>
      <w:r>
        <w:rPr>
          <w:color w:val="3366FF"/>
          <w:spacing w:val="-8"/>
        </w:rPr>
        <w:t>工作的这些日子，他积极参与了十多项新产品试制，攻克了十八项技术难关，独创九项</w:t>
      </w:r>
      <w:r>
        <w:rPr>
          <w:color w:val="3366FF"/>
          <w:spacing w:val="-10"/>
        </w:rPr>
        <w:t>新加工方法，配合完善了十二种生产工艺，提出技术革新和合理化建议八十多项，产品</w:t>
      </w:r>
      <w:r>
        <w:rPr>
          <w:color w:val="3366FF"/>
        </w:rPr>
        <w:t>质量合格率达百分之百。</w:t>
      </w:r>
    </w:p>
    <w:p>
      <w:pPr>
        <w:pStyle w:val="BodyText"/>
        <w:spacing w:line="364" w:lineRule="auto" w:before="4"/>
        <w:ind w:left="1418" w:right="1334" w:firstLine="480"/>
        <w:jc w:val="both"/>
      </w:pPr>
      <w:r>
        <w:rPr/>
        <w:drawing>
          <wp:anchor distT="0" distB="0" distL="0" distR="0" allowOverlap="1" layoutInCell="1" locked="0" behindDoc="1" simplePos="0" relativeHeight="244355072">
            <wp:simplePos x="0" y="0"/>
            <wp:positionH relativeFrom="page">
              <wp:posOffset>1412747</wp:posOffset>
            </wp:positionH>
            <wp:positionV relativeFrom="paragraph">
              <wp:posOffset>856869</wp:posOffset>
            </wp:positionV>
            <wp:extent cx="4710684" cy="3142487"/>
            <wp:effectExtent l="0" t="0" r="0" b="0"/>
            <wp:wrapNone/>
            <wp:docPr id="55" name="image32.jpeg"/>
            <wp:cNvGraphicFramePr>
              <a:graphicFrameLocks noChangeAspect="1"/>
            </wp:cNvGraphicFramePr>
            <a:graphic>
              <a:graphicData uri="http://schemas.openxmlformats.org/drawingml/2006/picture">
                <pic:pic>
                  <pic:nvPicPr>
                    <pic:cNvPr id="56" name="image32.jpeg"/>
                    <pic:cNvPicPr/>
                  </pic:nvPicPr>
                  <pic:blipFill>
                    <a:blip r:embed="rId42" cstate="print"/>
                    <a:stretch>
                      <a:fillRect/>
                    </a:stretch>
                  </pic:blipFill>
                  <pic:spPr>
                    <a:xfrm>
                      <a:off x="0" y="0"/>
                      <a:ext cx="4710684" cy="3142487"/>
                    </a:xfrm>
                    <a:prstGeom prst="rect">
                      <a:avLst/>
                    </a:prstGeom>
                  </pic:spPr>
                </pic:pic>
              </a:graphicData>
            </a:graphic>
          </wp:anchor>
        </w:drawing>
      </w:r>
      <w:r>
        <w:rPr>
          <w:color w:val="3366FF"/>
        </w:rPr>
        <w:t>作为一名生产一线的工人，刘健坚韧不拔、顽强执着，善于从工作中的点滴学起， </w:t>
      </w:r>
      <w:r>
        <w:rPr>
          <w:color w:val="3366FF"/>
          <w:spacing w:val="-15"/>
        </w:rPr>
        <w:t>在工作中的细微处钻研，凭着一股拼劲韧劲，克服了种种困难，操作技能到了质的提升， </w:t>
      </w:r>
      <w:r>
        <w:rPr>
          <w:color w:val="3366FF"/>
        </w:rPr>
        <w:t>是新一代产业工人的优秀代表。</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3"/>
        </w:rPr>
      </w:pPr>
    </w:p>
    <w:p>
      <w:pPr>
        <w:tabs>
          <w:tab w:pos="905" w:val="left" w:leader="none"/>
        </w:tabs>
        <w:spacing w:before="0"/>
        <w:ind w:left="7" w:right="0" w:firstLine="0"/>
        <w:jc w:val="center"/>
        <w:rPr>
          <w:b/>
          <w:sz w:val="21"/>
        </w:rPr>
      </w:pPr>
      <w:r>
        <w:rPr>
          <w:b/>
          <w:sz w:val="21"/>
        </w:rPr>
        <w:t>图</w:t>
      </w:r>
      <w:r>
        <w:rPr>
          <w:b/>
          <w:spacing w:val="-55"/>
          <w:sz w:val="21"/>
        </w:rPr>
        <w:t> </w:t>
      </w:r>
      <w:r>
        <w:rPr>
          <w:b/>
          <w:sz w:val="21"/>
        </w:rPr>
        <w:t>2-15</w:t>
        <w:tab/>
      </w:r>
      <w:r>
        <w:rPr>
          <w:b/>
          <w:w w:val="95"/>
          <w:sz w:val="21"/>
        </w:rPr>
        <w:t>刘健在岗位工作</w:t>
      </w:r>
    </w:p>
    <w:p>
      <w:pPr>
        <w:pStyle w:val="BodyText"/>
        <w:spacing w:before="1"/>
        <w:rPr>
          <w:b/>
          <w:sz w:val="17"/>
        </w:rPr>
      </w:pPr>
    </w:p>
    <w:p>
      <w:pPr>
        <w:pStyle w:val="Heading2"/>
        <w:numPr>
          <w:ilvl w:val="2"/>
          <w:numId w:val="2"/>
        </w:numPr>
        <w:tabs>
          <w:tab w:pos="2743" w:val="left" w:leader="none"/>
          <w:tab w:pos="2744" w:val="left" w:leader="none"/>
        </w:tabs>
        <w:spacing w:line="240" w:lineRule="auto" w:before="0" w:after="0"/>
        <w:ind w:left="2743" w:right="0" w:hanging="846"/>
        <w:jc w:val="left"/>
      </w:pPr>
      <w:bookmarkStart w:name="2.2.3  综合素质过硬" w:id="72"/>
      <w:bookmarkEnd w:id="72"/>
      <w:r>
        <w:rPr>
          <w:b w:val="0"/>
        </w:rPr>
      </w:r>
      <w:bookmarkStart w:name="_bookmark26" w:id="73"/>
      <w:bookmarkEnd w:id="73"/>
      <w:r>
        <w:rPr>
          <w:b w:val="0"/>
        </w:rPr>
      </w:r>
      <w:bookmarkStart w:name="_bookmark26" w:id="74"/>
      <w:bookmarkEnd w:id="74"/>
      <w:r>
        <w:rPr>
          <w:w w:val="95"/>
        </w:rPr>
        <w:t>综合素质过硬</w:t>
      </w:r>
    </w:p>
    <w:p>
      <w:pPr>
        <w:pStyle w:val="BodyText"/>
        <w:spacing w:before="7"/>
        <w:rPr>
          <w:rFonts w:ascii="黑体"/>
          <w:b/>
          <w:sz w:val="18"/>
        </w:rPr>
      </w:pPr>
    </w:p>
    <w:p>
      <w:pPr>
        <w:pStyle w:val="BodyText"/>
        <w:spacing w:line="364" w:lineRule="auto"/>
        <w:ind w:left="1418" w:right="1413" w:firstLine="480"/>
        <w:jc w:val="both"/>
      </w:pPr>
      <w:r>
        <w:rPr>
          <w:spacing w:val="-4"/>
        </w:rPr>
        <w:t>为了更好的适应学生的实际情况，全面实施教学改革：英语课继续在全校推进英语</w:t>
      </w:r>
      <w:r>
        <w:rPr>
          <w:spacing w:val="-7"/>
        </w:rPr>
        <w:t>课选课制度，实行了三年制大专学生自主选课和三年制大专任课教师自主选班，体育课</w:t>
      </w:r>
      <w:r>
        <w:rPr>
          <w:spacing w:val="-5"/>
        </w:rPr>
        <w:t>实行分级选课制度，实现了老师和学生的双向选择，激发了教师的课改积极性，进一步</w:t>
      </w:r>
      <w:r>
        <w:rPr>
          <w:spacing w:val="-6"/>
        </w:rPr>
        <w:t>适应学生情况；语文课老师充分挖掘自身优势，以生为本，将课堂教学与学生活动相结</w:t>
      </w:r>
      <w:r>
        <w:rPr>
          <w:spacing w:val="-9"/>
        </w:rPr>
        <w:t>合，组织校内“中华经典诵读”和“规范汉字书写”等技能节项目，不仅丰富了学生的</w:t>
      </w:r>
      <w:r>
        <w:rPr>
          <w:spacing w:val="-7"/>
        </w:rPr>
        <w:t>课余生活，而且也是教学改革成果的有效检验；数学老师大力推行蓝墨云班课信息技术融入课堂，对学生的平时学习大数据一一纪录，并纳入期末考核，探索出适合自己的一</w:t>
      </w:r>
      <w:r>
        <w:rPr/>
        <w:t>套信息化教改方案。使信息化教学日常化。</w:t>
      </w:r>
    </w:p>
    <w:p>
      <w:pPr>
        <w:spacing w:after="0" w:line="364" w:lineRule="auto"/>
        <w:jc w:val="both"/>
        <w:sectPr>
          <w:pgSz w:w="11910" w:h="16840"/>
          <w:pgMar w:header="780" w:footer="1241" w:top="1260" w:bottom="1440" w:left="0" w:right="0"/>
        </w:sectPr>
      </w:pPr>
    </w:p>
    <w:p>
      <w:pPr>
        <w:pStyle w:val="BodyText"/>
        <w:spacing w:line="364" w:lineRule="auto" w:before="141"/>
        <w:ind w:left="1418" w:right="1293" w:firstLine="480"/>
      </w:pPr>
      <w:r>
        <w:rPr>
          <w:spacing w:val="-13"/>
        </w:rPr>
        <w:t>心理健康教育。开设心理健康教育课程、持续举办大学生“心理健康教育月”活动、</w:t>
      </w:r>
      <w:r>
        <w:rPr>
          <w:spacing w:val="-4"/>
        </w:rPr>
        <w:t>进行了新生心理普查、及时进行心理咨询和心理问题的干预，没有出现任何问题。组织500</w:t>
      </w:r>
      <w:r>
        <w:rPr>
          <w:spacing w:val="-18"/>
        </w:rPr>
        <w:t> 余名团支书、班长、心理委员、寝室长参加的“心理委员、信息员培训”，我校学生</w:t>
      </w:r>
      <w:r>
        <w:rPr>
          <w:spacing w:val="-20"/>
        </w:rPr>
        <w:t>会心理部被湖南省心理卫生协会和大学生心理咨询专业委员会评为“湖南省高校优秀心</w:t>
      </w:r>
      <w:r>
        <w:rPr>
          <w:spacing w:val="-31"/>
        </w:rPr>
        <w:t>理类学生社团”。</w:t>
      </w:r>
    </w:p>
    <w:p>
      <w:pPr>
        <w:pStyle w:val="Heading2"/>
        <w:spacing w:before="75"/>
        <w:ind w:left="1898" w:firstLine="0"/>
      </w:pPr>
      <w:bookmarkStart w:name="【典型案例8】学院学子在省大运会上取得好成绩" w:id="75"/>
      <w:bookmarkEnd w:id="75"/>
      <w:r>
        <w:rPr>
          <w:b w:val="0"/>
        </w:rPr>
      </w:r>
      <w:bookmarkStart w:name="_bookmark27" w:id="76"/>
      <w:bookmarkEnd w:id="76"/>
      <w:r>
        <w:rPr>
          <w:b w:val="0"/>
        </w:rPr>
      </w:r>
      <w:r>
        <w:rPr/>
        <w:t>【典型案例 8】学院学子在省大运会上取得好成绩</w:t>
      </w:r>
    </w:p>
    <w:p>
      <w:pPr>
        <w:pStyle w:val="BodyText"/>
        <w:spacing w:before="6"/>
        <w:rPr>
          <w:rFonts w:ascii="黑体"/>
          <w:b/>
          <w:sz w:val="18"/>
        </w:rPr>
      </w:pPr>
    </w:p>
    <w:p>
      <w:pPr>
        <w:pStyle w:val="BodyText"/>
        <w:spacing w:line="364" w:lineRule="auto"/>
        <w:ind w:left="1418" w:right="1297" w:firstLine="480"/>
        <w:jc w:val="both"/>
      </w:pPr>
      <w:r>
        <w:rPr>
          <w:color w:val="3366FF"/>
          <w:spacing w:val="-3"/>
        </w:rPr>
        <w:t>在湖南省教育厅主办的湖南省第十一届大学生运动会上，学院取得了优异成绩，共</w:t>
      </w:r>
      <w:r>
        <w:rPr>
          <w:color w:val="3366FF"/>
          <w:spacing w:val="-12"/>
        </w:rPr>
        <w:t>获得单项比赛 </w:t>
      </w:r>
      <w:r>
        <w:rPr>
          <w:color w:val="3366FF"/>
        </w:rPr>
        <w:t>2</w:t>
      </w:r>
      <w:r>
        <w:rPr>
          <w:color w:val="3366FF"/>
          <w:spacing w:val="-40"/>
        </w:rPr>
        <w:t> 金 </w:t>
      </w:r>
      <w:r>
        <w:rPr>
          <w:color w:val="3366FF"/>
        </w:rPr>
        <w:t>1</w:t>
      </w:r>
      <w:r>
        <w:rPr>
          <w:color w:val="3366FF"/>
          <w:spacing w:val="-40"/>
        </w:rPr>
        <w:t> 银 </w:t>
      </w:r>
      <w:r>
        <w:rPr>
          <w:color w:val="3366FF"/>
        </w:rPr>
        <w:t>4</w:t>
      </w:r>
      <w:r>
        <w:rPr>
          <w:color w:val="3366FF"/>
          <w:spacing w:val="-25"/>
        </w:rPr>
        <w:t> 铜，</w:t>
      </w:r>
      <w:r>
        <w:rPr>
          <w:color w:val="3366FF"/>
          <w:spacing w:val="-14"/>
        </w:rPr>
        <w:t>6</w:t>
      </w:r>
      <w:r>
        <w:rPr>
          <w:color w:val="3366FF"/>
          <w:spacing w:val="-13"/>
        </w:rPr>
        <w:t> 个第五名，</w:t>
      </w:r>
      <w:r>
        <w:rPr>
          <w:color w:val="3366FF"/>
          <w:spacing w:val="-15"/>
        </w:rPr>
        <w:t>2 个第六名，集体项目 </w:t>
      </w:r>
      <w:r>
        <w:rPr>
          <w:color w:val="3366FF"/>
        </w:rPr>
        <w:t>1</w:t>
      </w:r>
      <w:r>
        <w:rPr>
          <w:color w:val="3366FF"/>
          <w:spacing w:val="-13"/>
        </w:rPr>
        <w:t> 个第四名，</w:t>
      </w:r>
      <w:r>
        <w:rPr>
          <w:color w:val="3366FF"/>
          <w:spacing w:val="-15"/>
        </w:rPr>
        <w:t>1 个第六</w:t>
      </w:r>
      <w:r>
        <w:rPr>
          <w:color w:val="3366FF"/>
          <w:spacing w:val="-12"/>
        </w:rPr>
        <w:t>名，</w:t>
      </w:r>
      <w:r>
        <w:rPr>
          <w:color w:val="3366FF"/>
          <w:spacing w:val="-8"/>
        </w:rPr>
        <w:t>1</w:t>
      </w:r>
      <w:r>
        <w:rPr>
          <w:color w:val="3366FF"/>
          <w:spacing w:val="-16"/>
        </w:rPr>
        <w:t> 个第七名，并获“优秀代表队称号”。邓媛、罗江龙、梁文娟、等 </w:t>
      </w:r>
      <w:r>
        <w:rPr>
          <w:color w:val="3366FF"/>
        </w:rPr>
        <w:t>15</w:t>
      </w:r>
      <w:r>
        <w:rPr>
          <w:color w:val="3366FF"/>
          <w:spacing w:val="-10"/>
        </w:rPr>
        <w:t> 名同学被评</w:t>
      </w:r>
      <w:r>
        <w:rPr>
          <w:color w:val="3366FF"/>
          <w:spacing w:val="-15"/>
        </w:rPr>
        <w:t>为“优秀运动员”称号。向全省各兄弟院校和社会各界展示了学院学子的良好精神风貌。</w:t>
      </w:r>
    </w:p>
    <w:p>
      <w:pPr>
        <w:pStyle w:val="BodyText"/>
        <w:ind w:left="2455"/>
        <w:rPr>
          <w:sz w:val="20"/>
        </w:rPr>
      </w:pPr>
      <w:r>
        <w:rPr>
          <w:sz w:val="20"/>
        </w:rPr>
        <w:drawing>
          <wp:inline distT="0" distB="0" distL="0" distR="0">
            <wp:extent cx="4426930" cy="2843498"/>
            <wp:effectExtent l="0" t="0" r="0" b="0"/>
            <wp:docPr id="57" name="image33.jpeg"/>
            <wp:cNvGraphicFramePr>
              <a:graphicFrameLocks noChangeAspect="1"/>
            </wp:cNvGraphicFramePr>
            <a:graphic>
              <a:graphicData uri="http://schemas.openxmlformats.org/drawingml/2006/picture">
                <pic:pic>
                  <pic:nvPicPr>
                    <pic:cNvPr id="58" name="image33.jpeg"/>
                    <pic:cNvPicPr/>
                  </pic:nvPicPr>
                  <pic:blipFill>
                    <a:blip r:embed="rId44" cstate="print"/>
                    <a:stretch>
                      <a:fillRect/>
                    </a:stretch>
                  </pic:blipFill>
                  <pic:spPr>
                    <a:xfrm>
                      <a:off x="0" y="0"/>
                      <a:ext cx="4426930" cy="2843498"/>
                    </a:xfrm>
                    <a:prstGeom prst="rect">
                      <a:avLst/>
                    </a:prstGeom>
                  </pic:spPr>
                </pic:pic>
              </a:graphicData>
            </a:graphic>
          </wp:inline>
        </w:drawing>
      </w:r>
      <w:r>
        <w:rPr>
          <w:sz w:val="20"/>
        </w:rPr>
      </w:r>
    </w:p>
    <w:p>
      <w:pPr>
        <w:tabs>
          <w:tab w:pos="907" w:val="left" w:leader="none"/>
        </w:tabs>
        <w:spacing w:before="170"/>
        <w:ind w:left="12" w:right="0" w:firstLine="0"/>
        <w:jc w:val="center"/>
        <w:rPr>
          <w:b/>
          <w:sz w:val="21"/>
        </w:rPr>
      </w:pPr>
      <w:r>
        <w:rPr>
          <w:b/>
          <w:sz w:val="21"/>
        </w:rPr>
        <w:t>图</w:t>
      </w:r>
      <w:r>
        <w:rPr>
          <w:b/>
          <w:spacing w:val="-55"/>
          <w:sz w:val="21"/>
        </w:rPr>
        <w:t> </w:t>
      </w:r>
      <w:r>
        <w:rPr>
          <w:b/>
          <w:sz w:val="21"/>
        </w:rPr>
        <w:t>2-16</w:t>
        <w:tab/>
        <w:t>学院学生参加省大运会颁奖现场</w:t>
      </w:r>
    </w:p>
    <w:p>
      <w:pPr>
        <w:pStyle w:val="BodyText"/>
        <w:spacing w:before="1"/>
        <w:rPr>
          <w:b/>
          <w:sz w:val="23"/>
        </w:rPr>
      </w:pPr>
    </w:p>
    <w:p>
      <w:pPr>
        <w:pStyle w:val="Heading2"/>
        <w:numPr>
          <w:ilvl w:val="1"/>
          <w:numId w:val="2"/>
        </w:numPr>
        <w:tabs>
          <w:tab w:pos="2471" w:val="left" w:leader="none"/>
          <w:tab w:pos="2472" w:val="left" w:leader="none"/>
        </w:tabs>
        <w:spacing w:line="240" w:lineRule="auto" w:before="0" w:after="0"/>
        <w:ind w:left="2472" w:right="0" w:hanging="574"/>
        <w:jc w:val="left"/>
        <w:rPr>
          <w:rFonts w:ascii="Arial" w:eastAsia="Arial"/>
        </w:rPr>
      </w:pPr>
      <w:bookmarkStart w:name="2.3  就业质量" w:id="77"/>
      <w:bookmarkEnd w:id="77"/>
      <w:r>
        <w:rPr>
          <w:b w:val="0"/>
        </w:rPr>
      </w:r>
      <w:bookmarkStart w:name="_bookmark28" w:id="78"/>
      <w:bookmarkEnd w:id="78"/>
      <w:r>
        <w:rPr>
          <w:b w:val="0"/>
        </w:rPr>
      </w:r>
      <w:bookmarkStart w:name="_bookmark28" w:id="79"/>
      <w:bookmarkEnd w:id="79"/>
      <w:r>
        <w:rPr/>
        <w:t>就业质量</w:t>
      </w:r>
    </w:p>
    <w:p>
      <w:pPr>
        <w:pStyle w:val="BodyText"/>
        <w:spacing w:before="9"/>
        <w:rPr>
          <w:rFonts w:ascii="黑体"/>
          <w:b/>
        </w:rPr>
      </w:pPr>
    </w:p>
    <w:p>
      <w:pPr>
        <w:pStyle w:val="BodyText"/>
        <w:spacing w:line="364" w:lineRule="auto"/>
        <w:ind w:left="1418" w:right="1417" w:firstLine="480"/>
        <w:jc w:val="both"/>
      </w:pPr>
      <w:r>
        <w:rPr>
          <w:spacing w:val="-5"/>
        </w:rPr>
        <w:t>学院高度重视大学生就业创业工作，坚持就业导向，努力开拓就业市场，使毕业生</w:t>
      </w:r>
      <w:r>
        <w:rPr>
          <w:spacing w:val="-8"/>
        </w:rPr>
        <w:t>好就业、就好业。学院采取了多项有效措施，有效保证了毕业生就业率和就业质量。学</w:t>
      </w:r>
      <w:r>
        <w:rPr>
          <w:spacing w:val="3"/>
        </w:rPr>
        <w:t>院已连续四届荣获湖南省普通高校就业创业工作“一把手工程”督查优秀单位，</w:t>
      </w:r>
      <w:r>
        <w:rPr/>
        <w:t>2013 </w:t>
      </w:r>
      <w:r>
        <w:rPr>
          <w:spacing w:val="-1"/>
        </w:rPr>
        <w:t>年被评为首批湖南省大学生就业创业示范校，</w:t>
      </w:r>
      <w:r>
        <w:rPr>
          <w:spacing w:val="-8"/>
        </w:rPr>
        <w:t>2016</w:t>
      </w:r>
      <w:r>
        <w:rPr>
          <w:spacing w:val="-13"/>
        </w:rPr>
        <w:t> 年获评首批省“双创”示范基地和省</w:t>
      </w:r>
      <w:r>
        <w:rPr>
          <w:spacing w:val="-22"/>
        </w:rPr>
        <w:t>大学生创新创业孵化示范基地。</w:t>
      </w:r>
      <w:r>
        <w:rPr>
          <w:spacing w:val="-7"/>
        </w:rPr>
        <w:t>2018</w:t>
      </w:r>
      <w:r>
        <w:rPr>
          <w:spacing w:val="-27"/>
        </w:rPr>
        <w:t> 年学院毕业生就业工作与往年相比呈现出四大亮点：</w:t>
      </w:r>
    </w:p>
    <w:p>
      <w:pPr>
        <w:spacing w:line="362" w:lineRule="auto" w:before="0"/>
        <w:ind w:left="1418" w:right="1387" w:firstLine="480"/>
        <w:jc w:val="both"/>
        <w:rPr>
          <w:sz w:val="24"/>
        </w:rPr>
      </w:pPr>
      <w:r>
        <w:rPr>
          <w:b/>
          <w:spacing w:val="4"/>
          <w:w w:val="95"/>
          <w:sz w:val="24"/>
        </w:rPr>
        <w:t>一是来校招聘用人单位参会数量、质量和层次，都达到历史新高。</w:t>
      </w:r>
      <w:r>
        <w:rPr>
          <w:spacing w:val="3"/>
          <w:w w:val="95"/>
          <w:sz w:val="24"/>
        </w:rPr>
        <w:t>据统计，我校</w:t>
      </w:r>
      <w:r>
        <w:rPr>
          <w:spacing w:val="3"/>
          <w:sz w:val="24"/>
        </w:rPr>
        <w:t>2019</w:t>
      </w:r>
      <w:r>
        <w:rPr>
          <w:spacing w:val="-14"/>
          <w:sz w:val="24"/>
        </w:rPr>
        <w:t> 届毕业生总人数为 </w:t>
      </w:r>
      <w:r>
        <w:rPr>
          <w:sz w:val="24"/>
        </w:rPr>
        <w:t>3636</w:t>
      </w:r>
      <w:r>
        <w:rPr>
          <w:spacing w:val="-15"/>
          <w:sz w:val="24"/>
        </w:rPr>
        <w:t> 人。报名参加本次供需见面会的企业数达 </w:t>
      </w:r>
      <w:r>
        <w:rPr>
          <w:sz w:val="24"/>
        </w:rPr>
        <w:t>1253</w:t>
      </w:r>
      <w:r>
        <w:rPr>
          <w:spacing w:val="-20"/>
          <w:sz w:val="24"/>
        </w:rPr>
        <w:t> 家，最终通</w:t>
      </w:r>
    </w:p>
    <w:p>
      <w:pPr>
        <w:spacing w:after="0" w:line="362" w:lineRule="auto"/>
        <w:jc w:val="both"/>
        <w:rPr>
          <w:sz w:val="24"/>
        </w:rPr>
        <w:sectPr>
          <w:footerReference w:type="default" r:id="rId43"/>
          <w:pgSz w:w="11910" w:h="16840"/>
          <w:pgMar w:footer="1241" w:header="780" w:top="1260" w:bottom="1440" w:left="0" w:right="0"/>
          <w:pgNumType w:start="20"/>
        </w:sectPr>
      </w:pPr>
    </w:p>
    <w:p>
      <w:pPr>
        <w:pStyle w:val="BodyText"/>
        <w:spacing w:before="141"/>
        <w:ind w:left="1418"/>
      </w:pPr>
      <w:r>
        <w:rPr>
          <w:spacing w:val="-3"/>
        </w:rPr>
        <w:t>过校方审核获得供需见面会入场劵企业数为 </w:t>
      </w:r>
      <w:r>
        <w:rPr/>
        <w:t>878</w:t>
      </w:r>
      <w:r>
        <w:rPr>
          <w:spacing w:val="-15"/>
        </w:rPr>
        <w:t> 家，共计提供岗位数 </w:t>
      </w:r>
      <w:r>
        <w:rPr/>
        <w:t>34000</w:t>
      </w:r>
      <w:r>
        <w:rPr>
          <w:spacing w:val="-15"/>
        </w:rPr>
        <w:t> 多个，人均</w:t>
      </w:r>
    </w:p>
    <w:p>
      <w:pPr>
        <w:pStyle w:val="BodyText"/>
        <w:spacing w:before="158"/>
        <w:ind w:left="1418"/>
      </w:pPr>
      <w:r>
        <w:rPr>
          <w:spacing w:val="-15"/>
        </w:rPr>
        <w:t>岗位达 </w:t>
      </w:r>
      <w:r>
        <w:rPr/>
        <w:t>9.4</w:t>
      </w:r>
      <w:r>
        <w:rPr>
          <w:spacing w:val="-21"/>
        </w:rPr>
        <w:t> 个，参会企业中，有世界 </w:t>
      </w:r>
      <w:r>
        <w:rPr/>
        <w:t>500</w:t>
      </w:r>
      <w:r>
        <w:rPr>
          <w:spacing w:val="-24"/>
        </w:rPr>
        <w:t> 强企业 </w:t>
      </w:r>
      <w:r>
        <w:rPr/>
        <w:t>56</w:t>
      </w:r>
      <w:r>
        <w:rPr>
          <w:spacing w:val="-30"/>
        </w:rPr>
        <w:t> 家，中国 </w:t>
      </w:r>
      <w:r>
        <w:rPr/>
        <w:t>100</w:t>
      </w:r>
      <w:r>
        <w:rPr>
          <w:spacing w:val="-24"/>
        </w:rPr>
        <w:t> 强企业 </w:t>
      </w:r>
      <w:r>
        <w:rPr/>
        <w:t>23</w:t>
      </w:r>
      <w:r>
        <w:rPr>
          <w:spacing w:val="-30"/>
        </w:rPr>
        <w:t> 家，中国 </w:t>
      </w:r>
      <w:r>
        <w:rPr/>
        <w:t>500</w:t>
      </w:r>
    </w:p>
    <w:p>
      <w:pPr>
        <w:pStyle w:val="BodyText"/>
        <w:spacing w:before="160"/>
        <w:ind w:left="1418"/>
      </w:pPr>
      <w:r>
        <w:rPr>
          <w:spacing w:val="-12"/>
        </w:rPr>
        <w:t>强企业 </w:t>
      </w:r>
      <w:r>
        <w:rPr/>
        <w:t>52</w:t>
      </w:r>
      <w:r>
        <w:rPr>
          <w:spacing w:val="-13"/>
        </w:rPr>
        <w:t> 家，上市公司 </w:t>
      </w:r>
      <w:r>
        <w:rPr/>
        <w:t>140</w:t>
      </w:r>
      <w:r>
        <w:rPr>
          <w:spacing w:val="-7"/>
        </w:rPr>
        <w:t> 家。在此次供需见面会前，学校已组织举办专场招聘会、</w:t>
      </w:r>
    </w:p>
    <w:p>
      <w:pPr>
        <w:pStyle w:val="BodyText"/>
        <w:spacing w:line="364" w:lineRule="auto" w:before="161"/>
        <w:ind w:left="1418" w:right="1297"/>
      </w:pPr>
      <w:r>
        <w:rPr>
          <w:spacing w:val="-10"/>
        </w:rPr>
        <w:t>宣讲会达 </w:t>
      </w:r>
      <w:r>
        <w:rPr/>
        <w:t>70</w:t>
      </w:r>
      <w:r>
        <w:rPr>
          <w:spacing w:val="-7"/>
        </w:rPr>
        <w:t> 余场，为毕业生顺利就业提供了良好的平台。与去年同期相比，来校招聘的单位数、招聘会场次以及提供的招聘岗位数均有明显增加，企业薪资待遇普遍看涨， </w:t>
      </w:r>
      <w:r>
        <w:rPr>
          <w:spacing w:val="-12"/>
        </w:rPr>
        <w:t>不少招聘企业开出了年薪 </w:t>
      </w:r>
      <w:r>
        <w:rPr/>
        <w:t>10—15</w:t>
      </w:r>
      <w:r>
        <w:rPr>
          <w:spacing w:val="-29"/>
        </w:rPr>
        <w:t> 万。总体而言，我校 </w:t>
      </w:r>
      <w:r>
        <w:rPr/>
        <w:t>2019</w:t>
      </w:r>
      <w:r>
        <w:rPr>
          <w:spacing w:val="-9"/>
        </w:rPr>
        <w:t> 届毕业生就业形势稳中向好， </w:t>
      </w:r>
      <w:r>
        <w:rPr>
          <w:spacing w:val="-5"/>
        </w:rPr>
        <w:t>毕业生就业行业、就业单位性质和就业区域将更趋合理，毕业生就业率和就业质量稳中有升。</w:t>
      </w:r>
    </w:p>
    <w:p>
      <w:pPr>
        <w:pStyle w:val="BodyText"/>
        <w:ind w:left="2008"/>
        <w:rPr>
          <w:sz w:val="20"/>
        </w:rPr>
      </w:pPr>
      <w:r>
        <w:rPr>
          <w:sz w:val="20"/>
        </w:rPr>
        <w:drawing>
          <wp:inline distT="0" distB="0" distL="0" distR="0">
            <wp:extent cx="5000006" cy="2752725"/>
            <wp:effectExtent l="0" t="0" r="0" b="0"/>
            <wp:docPr id="59" name="image34.png"/>
            <wp:cNvGraphicFramePr>
              <a:graphicFrameLocks noChangeAspect="1"/>
            </wp:cNvGraphicFramePr>
            <a:graphic>
              <a:graphicData uri="http://schemas.openxmlformats.org/drawingml/2006/picture">
                <pic:pic>
                  <pic:nvPicPr>
                    <pic:cNvPr id="60" name="image34.png"/>
                    <pic:cNvPicPr/>
                  </pic:nvPicPr>
                  <pic:blipFill>
                    <a:blip r:embed="rId45" cstate="print"/>
                    <a:stretch>
                      <a:fillRect/>
                    </a:stretch>
                  </pic:blipFill>
                  <pic:spPr>
                    <a:xfrm>
                      <a:off x="0" y="0"/>
                      <a:ext cx="5000006" cy="2752725"/>
                    </a:xfrm>
                    <a:prstGeom prst="rect">
                      <a:avLst/>
                    </a:prstGeom>
                  </pic:spPr>
                </pic:pic>
              </a:graphicData>
            </a:graphic>
          </wp:inline>
        </w:drawing>
      </w:r>
      <w:r>
        <w:rPr>
          <w:sz w:val="20"/>
        </w:rPr>
      </w:r>
    </w:p>
    <w:p>
      <w:pPr>
        <w:tabs>
          <w:tab w:pos="895" w:val="left" w:leader="none"/>
        </w:tabs>
        <w:spacing w:before="150"/>
        <w:ind w:left="0" w:right="21" w:firstLine="0"/>
        <w:jc w:val="center"/>
        <w:rPr>
          <w:b/>
          <w:sz w:val="21"/>
        </w:rPr>
      </w:pPr>
      <w:r>
        <w:rPr>
          <w:b/>
          <w:sz w:val="21"/>
        </w:rPr>
        <w:t>图</w:t>
      </w:r>
      <w:r>
        <w:rPr>
          <w:b/>
          <w:spacing w:val="-55"/>
          <w:sz w:val="21"/>
        </w:rPr>
        <w:t> </w:t>
      </w:r>
      <w:r>
        <w:rPr>
          <w:b/>
          <w:sz w:val="21"/>
        </w:rPr>
        <w:t>2-17</w:t>
        <w:tab/>
        <w:t>近三年来校招聘知名企业变化情况示意图</w:t>
      </w:r>
    </w:p>
    <w:p>
      <w:pPr>
        <w:spacing w:before="43"/>
        <w:ind w:left="6522" w:right="42" w:firstLine="0"/>
        <w:jc w:val="center"/>
        <w:rPr>
          <w:b/>
          <w:sz w:val="21"/>
        </w:rPr>
      </w:pPr>
      <w:r>
        <w:rPr>
          <w:b/>
          <w:sz w:val="21"/>
        </w:rPr>
        <w:t>数据来源：学院招生就业处</w:t>
      </w:r>
    </w:p>
    <w:p>
      <w:pPr>
        <w:pStyle w:val="BodyText"/>
        <w:spacing w:before="3"/>
        <w:rPr>
          <w:b/>
          <w:sz w:val="26"/>
        </w:rPr>
      </w:pPr>
    </w:p>
    <w:p>
      <w:pPr>
        <w:pStyle w:val="BodyText"/>
        <w:spacing w:line="364" w:lineRule="auto" w:before="1"/>
        <w:ind w:left="1418" w:right="1401" w:firstLine="480"/>
        <w:jc w:val="both"/>
      </w:pPr>
      <w:r>
        <w:rPr>
          <w:b/>
          <w:spacing w:val="-4"/>
        </w:rPr>
        <w:t>二是就业服务与专业建设结合更紧密。</w:t>
      </w:r>
      <w:r>
        <w:rPr>
          <w:spacing w:val="-1"/>
        </w:rPr>
        <w:t>学院坚持用人单位考察与专业建设调研相结</w:t>
      </w:r>
      <w:r>
        <w:rPr>
          <w:spacing w:val="-7"/>
        </w:rPr>
        <w:t>合，毕业生供需见面会与“三年不断线”的就业创业教育课相结合，用人单位到校选才</w:t>
      </w:r>
      <w:r>
        <w:rPr>
          <w:spacing w:val="-10"/>
        </w:rPr>
        <w:t>与洽谈后续订单培养、产学研合作项目相结合，使就业服务工作成为了一个推进产教深</w:t>
      </w:r>
      <w:r>
        <w:rPr>
          <w:spacing w:val="-9"/>
        </w:rPr>
        <w:t>度融合、创新校企合作新模式的新平台，进一步增强了校企合作持续推进的内生力，形成了良性循环。</w:t>
      </w:r>
    </w:p>
    <w:p>
      <w:pPr>
        <w:pStyle w:val="BodyText"/>
        <w:spacing w:line="364" w:lineRule="auto"/>
        <w:ind w:left="1418" w:right="1285" w:firstLine="480"/>
      </w:pPr>
      <w:r>
        <w:rPr>
          <w:b/>
          <w:spacing w:val="-4"/>
        </w:rPr>
        <w:t>三是开展精准就业服务。</w:t>
      </w:r>
      <w:r>
        <w:rPr>
          <w:spacing w:val="-5"/>
        </w:rPr>
        <w:t>学院充分利用校园网、</w:t>
      </w:r>
      <w:r>
        <w:rPr/>
        <w:t>QQ</w:t>
      </w:r>
      <w:r>
        <w:rPr>
          <w:spacing w:val="-11"/>
        </w:rPr>
        <w:t>、短信、微信等多种新媒体渠道， </w:t>
      </w:r>
      <w:r>
        <w:rPr>
          <w:spacing w:val="-5"/>
        </w:rPr>
        <w:t>搭建供需平台，实现学生与用人单位精准对接。就业指导与服务重心下移，形成了二级</w:t>
      </w:r>
      <w:r>
        <w:rPr>
          <w:spacing w:val="-9"/>
        </w:rPr>
        <w:t>学院院长、党总支书记齐抓共管，专业负责人成为就业工作核心骨干，班主任、任课教</w:t>
      </w:r>
      <w:r>
        <w:rPr>
          <w:spacing w:val="-11"/>
        </w:rPr>
        <w:t>师齐发力，学生就业定位更切合实际，选择用人单位更切合自身特点、更精确，一次性签约率显著提高。</w:t>
      </w:r>
    </w:p>
    <w:p>
      <w:pPr>
        <w:spacing w:after="0" w:line="364" w:lineRule="auto"/>
        <w:sectPr>
          <w:pgSz w:w="11910" w:h="16840"/>
          <w:pgMar w:header="780" w:footer="1241" w:top="1260" w:bottom="1440" w:left="0" w:right="0"/>
        </w:sectPr>
      </w:pPr>
    </w:p>
    <w:p>
      <w:pPr>
        <w:pStyle w:val="BodyText"/>
        <w:spacing w:line="364" w:lineRule="auto" w:before="141"/>
        <w:ind w:left="1418" w:right="1297" w:firstLine="480"/>
      </w:pPr>
      <w:r>
        <w:rPr>
          <w:b/>
        </w:rPr>
        <w:t>四是构建了“一二三四”特殊群体就业帮扶特色工作体系</w:t>
      </w:r>
      <w:r>
        <w:rPr/>
        <w:t>(一个目标：实现特殊学</w:t>
      </w:r>
      <w:r>
        <w:rPr>
          <w:spacing w:val="-4"/>
        </w:rPr>
        <w:t>生群体的充分就业、满意就业；二大举措：就业推荐、创业扶植并举；三个结合：“输</w:t>
      </w:r>
      <w:r>
        <w:rPr>
          <w:spacing w:val="-11"/>
        </w:rPr>
        <w:t>血式”资助与“造血式”帮扶相结合、“扶贫”与“扶志”相结合、一对一帮扶和团队</w:t>
      </w:r>
      <w:r>
        <w:rPr>
          <w:spacing w:val="-21"/>
        </w:rPr>
        <w:t>帮扶相结合；四个到位：思想认识到位、帮扶资金到位、心理辅导到位、就业指导到位)， </w:t>
      </w:r>
      <w:r>
        <w:rPr/>
        <w:t>力促困难毕业生充分就业、满意就业。</w:t>
      </w:r>
    </w:p>
    <w:p>
      <w:pPr>
        <w:pStyle w:val="Heading2"/>
        <w:numPr>
          <w:ilvl w:val="2"/>
          <w:numId w:val="2"/>
        </w:numPr>
        <w:tabs>
          <w:tab w:pos="2743" w:val="left" w:leader="none"/>
          <w:tab w:pos="2744" w:val="left" w:leader="none"/>
        </w:tabs>
        <w:spacing w:line="240" w:lineRule="auto" w:before="75" w:after="0"/>
        <w:ind w:left="2743" w:right="0" w:hanging="846"/>
        <w:jc w:val="left"/>
      </w:pPr>
      <w:bookmarkStart w:name="2.3.1  毕业生就业率长期维持高位并持续上升" w:id="80"/>
      <w:bookmarkEnd w:id="80"/>
      <w:r>
        <w:rPr>
          <w:b w:val="0"/>
        </w:rPr>
      </w:r>
      <w:bookmarkStart w:name="_bookmark29" w:id="81"/>
      <w:bookmarkEnd w:id="81"/>
      <w:r>
        <w:rPr>
          <w:b w:val="0"/>
        </w:rPr>
      </w:r>
      <w:bookmarkStart w:name="_bookmark29" w:id="82"/>
      <w:bookmarkEnd w:id="82"/>
      <w:r>
        <w:rPr/>
        <w:t>毕业生就业率长期维持高位并持续上升</w:t>
      </w:r>
    </w:p>
    <w:p>
      <w:pPr>
        <w:pStyle w:val="BodyText"/>
        <w:spacing w:before="6"/>
        <w:rPr>
          <w:rFonts w:ascii="黑体"/>
          <w:b/>
          <w:sz w:val="18"/>
        </w:rPr>
      </w:pPr>
    </w:p>
    <w:p>
      <w:pPr>
        <w:pStyle w:val="BodyText"/>
        <w:spacing w:line="364" w:lineRule="auto"/>
        <w:ind w:left="1418" w:right="1417" w:firstLine="480"/>
        <w:jc w:val="both"/>
      </w:pPr>
      <w:r>
        <w:rPr>
          <w:spacing w:val="-4"/>
        </w:rPr>
        <w:t>学院毕业生整体就业落实情况较好，近六届毕业生的就业率整体较为稳定，且就业</w:t>
      </w:r>
      <w:r>
        <w:rPr/>
        <w:t>质量持续上升。2018</w:t>
      </w:r>
      <w:r>
        <w:rPr>
          <w:spacing w:val="-9"/>
        </w:rPr>
        <w:t> 届毕业生就业率为 </w:t>
      </w:r>
      <w:r>
        <w:rPr/>
        <w:t>95.12%，据全国高职院校状态数据采集与管理</w:t>
      </w:r>
      <w:r>
        <w:rPr>
          <w:spacing w:val="-2"/>
        </w:rPr>
        <w:t>系统和湖南省大中专毕业生就业指导中心数据显示：我院 </w:t>
      </w:r>
      <w:r>
        <w:rPr/>
        <w:t>2018</w:t>
      </w:r>
      <w:r>
        <w:rPr>
          <w:spacing w:val="-6"/>
        </w:rPr>
        <w:t> 届毕业生就业率高于全省高职院校平均就业率。</w:t>
      </w:r>
    </w:p>
    <w:p>
      <w:pPr>
        <w:pStyle w:val="BodyText"/>
        <w:ind w:left="2337"/>
        <w:rPr>
          <w:sz w:val="20"/>
        </w:rPr>
      </w:pPr>
      <w:r>
        <w:rPr>
          <w:sz w:val="20"/>
        </w:rPr>
        <w:drawing>
          <wp:inline distT="0" distB="0" distL="0" distR="0">
            <wp:extent cx="4579501" cy="2752725"/>
            <wp:effectExtent l="0" t="0" r="0" b="0"/>
            <wp:docPr id="61" name="image35.png"/>
            <wp:cNvGraphicFramePr>
              <a:graphicFrameLocks noChangeAspect="1"/>
            </wp:cNvGraphicFramePr>
            <a:graphic>
              <a:graphicData uri="http://schemas.openxmlformats.org/drawingml/2006/picture">
                <pic:pic>
                  <pic:nvPicPr>
                    <pic:cNvPr id="62" name="image35.png"/>
                    <pic:cNvPicPr/>
                  </pic:nvPicPr>
                  <pic:blipFill>
                    <a:blip r:embed="rId46" cstate="print"/>
                    <a:stretch>
                      <a:fillRect/>
                    </a:stretch>
                  </pic:blipFill>
                  <pic:spPr>
                    <a:xfrm>
                      <a:off x="0" y="0"/>
                      <a:ext cx="4579501" cy="2752725"/>
                    </a:xfrm>
                    <a:prstGeom prst="rect">
                      <a:avLst/>
                    </a:prstGeom>
                  </pic:spPr>
                </pic:pic>
              </a:graphicData>
            </a:graphic>
          </wp:inline>
        </w:drawing>
      </w:r>
      <w:r>
        <w:rPr>
          <w:sz w:val="20"/>
        </w:rPr>
      </w:r>
    </w:p>
    <w:p>
      <w:pPr>
        <w:tabs>
          <w:tab w:pos="897" w:val="left" w:leader="none"/>
        </w:tabs>
        <w:spacing w:before="188"/>
        <w:ind w:left="0" w:right="21" w:firstLine="0"/>
        <w:jc w:val="center"/>
        <w:rPr>
          <w:b/>
          <w:sz w:val="21"/>
        </w:rPr>
      </w:pPr>
      <w:r>
        <w:rPr>
          <w:b/>
          <w:sz w:val="21"/>
        </w:rPr>
        <w:t>图</w:t>
      </w:r>
      <w:r>
        <w:rPr>
          <w:b/>
          <w:spacing w:val="-52"/>
          <w:sz w:val="21"/>
        </w:rPr>
        <w:t> </w:t>
      </w:r>
      <w:r>
        <w:rPr>
          <w:b/>
          <w:sz w:val="21"/>
        </w:rPr>
        <w:t>2-18</w:t>
        <w:tab/>
        <w:t>学院</w:t>
      </w:r>
      <w:r>
        <w:rPr>
          <w:b/>
          <w:spacing w:val="-54"/>
          <w:sz w:val="21"/>
        </w:rPr>
        <w:t> </w:t>
      </w:r>
      <w:r>
        <w:rPr>
          <w:b/>
          <w:sz w:val="21"/>
        </w:rPr>
        <w:t>2018</w:t>
      </w:r>
      <w:r>
        <w:rPr>
          <w:b/>
          <w:spacing w:val="-52"/>
          <w:sz w:val="21"/>
        </w:rPr>
        <w:t> </w:t>
      </w:r>
      <w:r>
        <w:rPr>
          <w:b/>
          <w:sz w:val="21"/>
        </w:rPr>
        <w:t>届毕业生就业率情况示意图</w:t>
      </w:r>
    </w:p>
    <w:p>
      <w:pPr>
        <w:spacing w:before="43"/>
        <w:ind w:left="1083" w:right="42" w:firstLine="0"/>
        <w:jc w:val="center"/>
        <w:rPr>
          <w:b/>
          <w:sz w:val="21"/>
        </w:rPr>
      </w:pPr>
      <w:r>
        <w:rPr>
          <w:b/>
          <w:sz w:val="21"/>
        </w:rPr>
        <w:t>数据来源：全国高职院校状态数据采集与管理系统、湖南省大中专毕业生就业指导中心</w:t>
      </w:r>
    </w:p>
    <w:p>
      <w:pPr>
        <w:pStyle w:val="Heading2"/>
        <w:numPr>
          <w:ilvl w:val="2"/>
          <w:numId w:val="2"/>
        </w:numPr>
        <w:tabs>
          <w:tab w:pos="2743" w:val="left" w:leader="none"/>
          <w:tab w:pos="2744" w:val="left" w:leader="none"/>
        </w:tabs>
        <w:spacing w:line="240" w:lineRule="auto" w:before="102" w:after="0"/>
        <w:ind w:left="2743" w:right="0" w:hanging="846"/>
        <w:jc w:val="left"/>
      </w:pPr>
      <w:bookmarkStart w:name="2.3.2  人才培养质量得到了用人单位和毕业生本人的高度认可" w:id="83"/>
      <w:bookmarkEnd w:id="83"/>
      <w:r>
        <w:rPr>
          <w:b w:val="0"/>
        </w:rPr>
      </w:r>
      <w:bookmarkStart w:name="_bookmark30" w:id="84"/>
      <w:bookmarkEnd w:id="84"/>
      <w:r>
        <w:rPr>
          <w:b w:val="0"/>
        </w:rPr>
      </w:r>
      <w:bookmarkStart w:name="_bookmark30" w:id="85"/>
      <w:bookmarkEnd w:id="85"/>
      <w:r>
        <w:rPr/>
        <w:t>人才培养质量得到了用人单位和毕业生本人的高度认可</w:t>
      </w:r>
    </w:p>
    <w:p>
      <w:pPr>
        <w:pStyle w:val="BodyText"/>
        <w:spacing w:before="6"/>
        <w:rPr>
          <w:rFonts w:ascii="黑体"/>
          <w:b/>
          <w:sz w:val="18"/>
        </w:rPr>
      </w:pPr>
    </w:p>
    <w:p>
      <w:pPr>
        <w:pStyle w:val="BodyText"/>
        <w:spacing w:line="364" w:lineRule="auto" w:before="1"/>
        <w:ind w:left="1418" w:right="1417" w:firstLine="480"/>
        <w:jc w:val="both"/>
      </w:pPr>
      <w:r>
        <w:rPr>
          <w:spacing w:val="-4"/>
        </w:rPr>
        <w:t>一是用人单位对学院毕业生满意度高。学院近五届毕业生的用人单位满意度整体呈</w:t>
      </w:r>
      <w:r>
        <w:rPr>
          <w:spacing w:val="9"/>
        </w:rPr>
        <w:t>上升趋势，且均高于全国和湖南省高职平均水平。</w:t>
      </w:r>
      <w:r>
        <w:rPr/>
        <w:t>2018</w:t>
      </w:r>
      <w:r>
        <w:rPr>
          <w:spacing w:val="2"/>
        </w:rPr>
        <w:t> 届毕业生用人单位满意度为97.48%，</w:t>
      </w:r>
      <w:r>
        <w:rPr>
          <w:spacing w:val="-14"/>
        </w:rPr>
        <w:t>较全省 </w:t>
      </w:r>
      <w:r>
        <w:rPr/>
        <w:t>2018</w:t>
      </w:r>
      <w:r>
        <w:rPr>
          <w:spacing w:val="-12"/>
        </w:rPr>
        <w:t> 届毕业生用人单位满意度高 </w:t>
      </w:r>
      <w:r>
        <w:rPr/>
        <w:t>1.85</w:t>
      </w:r>
      <w:r>
        <w:rPr>
          <w:spacing w:val="-11"/>
        </w:rPr>
        <w:t> 个百分点。</w:t>
      </w:r>
    </w:p>
    <w:p>
      <w:pPr>
        <w:spacing w:after="0" w:line="364" w:lineRule="auto"/>
        <w:jc w:val="both"/>
        <w:sectPr>
          <w:pgSz w:w="11910" w:h="16840"/>
          <w:pgMar w:header="780" w:footer="1241" w:top="1260" w:bottom="1440" w:left="0" w:right="0"/>
        </w:sectPr>
      </w:pPr>
    </w:p>
    <w:p>
      <w:pPr>
        <w:pStyle w:val="BodyText"/>
        <w:spacing w:before="11" w:after="1"/>
        <w:rPr>
          <w:sz w:val="10"/>
        </w:rPr>
      </w:pPr>
    </w:p>
    <w:p>
      <w:pPr>
        <w:pStyle w:val="BodyText"/>
        <w:ind w:left="1917"/>
        <w:rPr>
          <w:sz w:val="20"/>
        </w:rPr>
      </w:pPr>
      <w:r>
        <w:rPr>
          <w:sz w:val="20"/>
        </w:rPr>
        <w:drawing>
          <wp:inline distT="0" distB="0" distL="0" distR="0">
            <wp:extent cx="5114274" cy="2752725"/>
            <wp:effectExtent l="0" t="0" r="0" b="0"/>
            <wp:docPr id="63" name="image36.png"/>
            <wp:cNvGraphicFramePr>
              <a:graphicFrameLocks noChangeAspect="1"/>
            </wp:cNvGraphicFramePr>
            <a:graphic>
              <a:graphicData uri="http://schemas.openxmlformats.org/drawingml/2006/picture">
                <pic:pic>
                  <pic:nvPicPr>
                    <pic:cNvPr id="64" name="image36.png"/>
                    <pic:cNvPicPr/>
                  </pic:nvPicPr>
                  <pic:blipFill>
                    <a:blip r:embed="rId47" cstate="print"/>
                    <a:stretch>
                      <a:fillRect/>
                    </a:stretch>
                  </pic:blipFill>
                  <pic:spPr>
                    <a:xfrm>
                      <a:off x="0" y="0"/>
                      <a:ext cx="5114274" cy="2752725"/>
                    </a:xfrm>
                    <a:prstGeom prst="rect">
                      <a:avLst/>
                    </a:prstGeom>
                  </pic:spPr>
                </pic:pic>
              </a:graphicData>
            </a:graphic>
          </wp:inline>
        </w:drawing>
      </w:r>
      <w:r>
        <w:rPr>
          <w:sz w:val="20"/>
        </w:rPr>
      </w:r>
    </w:p>
    <w:p>
      <w:pPr>
        <w:pStyle w:val="BodyText"/>
        <w:spacing w:before="6"/>
        <w:rPr>
          <w:sz w:val="9"/>
        </w:rPr>
      </w:pPr>
    </w:p>
    <w:p>
      <w:pPr>
        <w:tabs>
          <w:tab w:pos="895" w:val="left" w:leader="none"/>
        </w:tabs>
        <w:spacing w:before="70"/>
        <w:ind w:left="0" w:right="21" w:firstLine="0"/>
        <w:jc w:val="center"/>
        <w:rPr>
          <w:b/>
          <w:sz w:val="21"/>
        </w:rPr>
      </w:pPr>
      <w:r>
        <w:rPr>
          <w:b/>
          <w:sz w:val="21"/>
        </w:rPr>
        <w:t>图</w:t>
      </w:r>
      <w:r>
        <w:rPr>
          <w:b/>
          <w:spacing w:val="-55"/>
          <w:sz w:val="21"/>
        </w:rPr>
        <w:t> </w:t>
      </w:r>
      <w:r>
        <w:rPr>
          <w:b/>
          <w:sz w:val="21"/>
        </w:rPr>
        <w:t>2-19</w:t>
        <w:tab/>
        <w:t>用人单位对学院毕业生满意度变化示意图</w:t>
      </w:r>
    </w:p>
    <w:p>
      <w:pPr>
        <w:spacing w:before="43"/>
        <w:ind w:left="4390" w:right="1" w:firstLine="0"/>
        <w:jc w:val="center"/>
        <w:rPr>
          <w:b/>
          <w:sz w:val="21"/>
        </w:rPr>
      </w:pPr>
      <w:r>
        <w:rPr>
          <w:b/>
          <w:sz w:val="21"/>
        </w:rPr>
        <w:t>数据来源：全国高职院校状态数据采集与管理系统</w:t>
      </w:r>
    </w:p>
    <w:p>
      <w:pPr>
        <w:pStyle w:val="BodyText"/>
        <w:spacing w:line="364" w:lineRule="auto" w:before="22" w:after="6"/>
        <w:ind w:left="1418" w:right="1417" w:firstLine="480"/>
        <w:jc w:val="both"/>
      </w:pPr>
      <w:r>
        <w:rPr>
          <w:spacing w:val="-5"/>
        </w:rPr>
        <w:t>二是毕业生对母校满意度高。麦可思调查数据显示：学院毕业生对学院人才培养工</w:t>
      </w:r>
      <w:r>
        <w:rPr>
          <w:spacing w:val="-8"/>
        </w:rPr>
        <w:t>作、就业指导服务、校园文化等均给予了高度评价，随着学院近年来持续加强内涵水平</w:t>
      </w:r>
      <w:r>
        <w:rPr/>
        <w:t>建设，评价结果正不断攀升。</w:t>
      </w:r>
    </w:p>
    <w:p>
      <w:pPr>
        <w:pStyle w:val="BodyText"/>
        <w:ind w:left="1852"/>
        <w:rPr>
          <w:sz w:val="20"/>
        </w:rPr>
      </w:pPr>
      <w:r>
        <w:rPr>
          <w:sz w:val="20"/>
        </w:rPr>
        <w:drawing>
          <wp:inline distT="0" distB="0" distL="0" distR="0">
            <wp:extent cx="5170648" cy="2752725"/>
            <wp:effectExtent l="0" t="0" r="0" b="0"/>
            <wp:docPr id="65" name="image37.png"/>
            <wp:cNvGraphicFramePr>
              <a:graphicFrameLocks noChangeAspect="1"/>
            </wp:cNvGraphicFramePr>
            <a:graphic>
              <a:graphicData uri="http://schemas.openxmlformats.org/drawingml/2006/picture">
                <pic:pic>
                  <pic:nvPicPr>
                    <pic:cNvPr id="66" name="image37.png"/>
                    <pic:cNvPicPr/>
                  </pic:nvPicPr>
                  <pic:blipFill>
                    <a:blip r:embed="rId48" cstate="print"/>
                    <a:stretch>
                      <a:fillRect/>
                    </a:stretch>
                  </pic:blipFill>
                  <pic:spPr>
                    <a:xfrm>
                      <a:off x="0" y="0"/>
                      <a:ext cx="5170648" cy="2752725"/>
                    </a:xfrm>
                    <a:prstGeom prst="rect">
                      <a:avLst/>
                    </a:prstGeom>
                  </pic:spPr>
                </pic:pic>
              </a:graphicData>
            </a:graphic>
          </wp:inline>
        </w:drawing>
      </w:r>
      <w:r>
        <w:rPr>
          <w:sz w:val="20"/>
        </w:rPr>
      </w:r>
    </w:p>
    <w:p>
      <w:pPr>
        <w:tabs>
          <w:tab w:pos="897" w:val="left" w:leader="none"/>
        </w:tabs>
        <w:spacing w:before="124"/>
        <w:ind w:left="0" w:right="21" w:firstLine="0"/>
        <w:jc w:val="center"/>
        <w:rPr>
          <w:b/>
          <w:sz w:val="21"/>
        </w:rPr>
      </w:pPr>
      <w:r>
        <w:rPr>
          <w:b/>
          <w:sz w:val="21"/>
        </w:rPr>
        <w:t>图</w:t>
      </w:r>
      <w:r>
        <w:rPr>
          <w:b/>
          <w:spacing w:val="-52"/>
          <w:sz w:val="21"/>
        </w:rPr>
        <w:t> </w:t>
      </w:r>
      <w:r>
        <w:rPr>
          <w:b/>
          <w:sz w:val="21"/>
        </w:rPr>
        <w:t>2-20</w:t>
        <w:tab/>
        <w:t>学院毕业生对母校满意度变化示意图</w:t>
      </w:r>
    </w:p>
    <w:p>
      <w:pPr>
        <w:spacing w:before="119"/>
        <w:ind w:left="1505" w:right="42" w:firstLine="0"/>
        <w:jc w:val="center"/>
        <w:rPr>
          <w:b/>
          <w:sz w:val="21"/>
        </w:rPr>
      </w:pPr>
      <w:r>
        <w:rPr>
          <w:b/>
          <w:sz w:val="21"/>
        </w:rPr>
        <w:t>数据来源：麦可思——湖南化工职业技术学院应届毕业生培养质量评价报告(2018)</w:t>
      </w:r>
    </w:p>
    <w:p>
      <w:pPr>
        <w:pStyle w:val="Heading2"/>
        <w:numPr>
          <w:ilvl w:val="2"/>
          <w:numId w:val="2"/>
        </w:numPr>
        <w:tabs>
          <w:tab w:pos="2743" w:val="left" w:leader="none"/>
          <w:tab w:pos="2744" w:val="left" w:leader="none"/>
        </w:tabs>
        <w:spacing w:line="240" w:lineRule="auto" w:before="105" w:after="0"/>
        <w:ind w:left="2743" w:right="0" w:hanging="846"/>
        <w:jc w:val="left"/>
      </w:pPr>
      <w:bookmarkStart w:name="2.3.3  毕业生薪资水平持续较高" w:id="86"/>
      <w:bookmarkEnd w:id="86"/>
      <w:r>
        <w:rPr>
          <w:b w:val="0"/>
        </w:rPr>
      </w:r>
      <w:bookmarkStart w:name="_bookmark31" w:id="87"/>
      <w:bookmarkEnd w:id="87"/>
      <w:r>
        <w:rPr>
          <w:b w:val="0"/>
        </w:rPr>
      </w:r>
      <w:bookmarkStart w:name="_bookmark31" w:id="88"/>
      <w:bookmarkEnd w:id="88"/>
      <w:r>
        <w:rPr/>
        <w:t>毕业生薪资水平持续较高</w:t>
      </w:r>
    </w:p>
    <w:p>
      <w:pPr>
        <w:pStyle w:val="BodyText"/>
        <w:spacing w:before="6"/>
        <w:rPr>
          <w:rFonts w:ascii="黑体"/>
          <w:b/>
          <w:sz w:val="18"/>
        </w:rPr>
      </w:pPr>
    </w:p>
    <w:p>
      <w:pPr>
        <w:pStyle w:val="BodyText"/>
        <w:spacing w:line="362" w:lineRule="auto"/>
        <w:ind w:left="1418" w:right="1416" w:firstLine="480"/>
        <w:jc w:val="both"/>
      </w:pPr>
      <w:r>
        <w:rPr>
          <w:spacing w:val="3"/>
        </w:rPr>
        <w:t>学院近五届毕业生月收入水平呈上升趋势，并明显高于全国高职院校平均水平。2018</w:t>
      </w:r>
      <w:r>
        <w:rPr>
          <w:spacing w:val="-12"/>
        </w:rPr>
        <w:t> 届毕业生的起薪月收入为 </w:t>
      </w:r>
      <w:r>
        <w:rPr/>
        <w:t>4336</w:t>
      </w:r>
      <w:r>
        <w:rPr>
          <w:spacing w:val="-18"/>
        </w:rPr>
        <w:t> 元，较本校 </w:t>
      </w:r>
      <w:r>
        <w:rPr/>
        <w:t>2017</w:t>
      </w:r>
      <w:r>
        <w:rPr>
          <w:spacing w:val="-30"/>
        </w:rPr>
        <w:t> 届</w:t>
      </w:r>
      <w:r>
        <w:rPr/>
        <w:t>(3979</w:t>
      </w:r>
      <w:r>
        <w:rPr>
          <w:spacing w:val="-13"/>
        </w:rPr>
        <w:t> 元)有一定增长，较 </w:t>
      </w:r>
      <w:r>
        <w:rPr/>
        <w:t>2014</w:t>
      </w:r>
    </w:p>
    <w:p>
      <w:pPr>
        <w:pStyle w:val="BodyText"/>
        <w:spacing w:before="3"/>
        <w:ind w:left="1418"/>
      </w:pPr>
      <w:r>
        <w:rPr>
          <w:spacing w:val="-6"/>
        </w:rPr>
        <w:t>届毕业生起薪点高 </w:t>
      </w:r>
      <w:r>
        <w:rPr/>
        <w:t>755</w:t>
      </w:r>
      <w:r>
        <w:rPr>
          <w:spacing w:val="-12"/>
        </w:rPr>
        <w:t> 元。其中，学院 </w:t>
      </w:r>
      <w:r>
        <w:rPr/>
        <w:t>2018</w:t>
      </w:r>
      <w:r>
        <w:rPr>
          <w:spacing w:val="-7"/>
        </w:rPr>
        <w:t> 届毕业生起薪月收入较高的专业是焊接技</w:t>
      </w:r>
    </w:p>
    <w:p>
      <w:pPr>
        <w:spacing w:after="0"/>
        <w:sectPr>
          <w:pgSz w:w="11910" w:h="16840"/>
          <w:pgMar w:header="780" w:footer="1241" w:top="1260" w:bottom="1440" w:left="0" w:right="0"/>
        </w:sectPr>
      </w:pPr>
    </w:p>
    <w:p>
      <w:pPr>
        <w:pStyle w:val="BodyText"/>
        <w:spacing w:line="362" w:lineRule="auto" w:before="141"/>
        <w:ind w:left="1418" w:right="1417"/>
      </w:pPr>
      <w:r>
        <w:rPr/>
        <w:drawing>
          <wp:anchor distT="0" distB="0" distL="0" distR="0" allowOverlap="1" layoutInCell="1" locked="0" behindDoc="0" simplePos="0" relativeHeight="17">
            <wp:simplePos x="0" y="0"/>
            <wp:positionH relativeFrom="page">
              <wp:posOffset>1205483</wp:posOffset>
            </wp:positionH>
            <wp:positionV relativeFrom="paragraph">
              <wp:posOffset>706119</wp:posOffset>
            </wp:positionV>
            <wp:extent cx="5123778" cy="2724150"/>
            <wp:effectExtent l="0" t="0" r="0" b="0"/>
            <wp:wrapTopAndBottom/>
            <wp:docPr id="67" name="image38.png"/>
            <wp:cNvGraphicFramePr>
              <a:graphicFrameLocks noChangeAspect="1"/>
            </wp:cNvGraphicFramePr>
            <a:graphic>
              <a:graphicData uri="http://schemas.openxmlformats.org/drawingml/2006/picture">
                <pic:pic>
                  <pic:nvPicPr>
                    <pic:cNvPr id="68" name="image38.png"/>
                    <pic:cNvPicPr/>
                  </pic:nvPicPr>
                  <pic:blipFill>
                    <a:blip r:embed="rId49" cstate="print"/>
                    <a:stretch>
                      <a:fillRect/>
                    </a:stretch>
                  </pic:blipFill>
                  <pic:spPr>
                    <a:xfrm>
                      <a:off x="0" y="0"/>
                      <a:ext cx="5123778" cy="2724150"/>
                    </a:xfrm>
                    <a:prstGeom prst="rect">
                      <a:avLst/>
                    </a:prstGeom>
                  </pic:spPr>
                </pic:pic>
              </a:graphicData>
            </a:graphic>
          </wp:anchor>
        </w:drawing>
      </w:r>
      <w:r>
        <w:rPr>
          <w:spacing w:val="-1"/>
        </w:rPr>
        <w:t>术及自动化</w:t>
      </w:r>
      <w:r>
        <w:rPr/>
        <w:t>(5293</w:t>
      </w:r>
      <w:r>
        <w:rPr>
          <w:spacing w:val="-8"/>
        </w:rPr>
        <w:t> 元)、工业过程自动化</w:t>
      </w:r>
      <w:r>
        <w:rPr/>
        <w:t>(5157</w:t>
      </w:r>
      <w:r>
        <w:rPr>
          <w:spacing w:val="-8"/>
        </w:rPr>
        <w:t> 元)、高分子材料工程技术</w:t>
      </w:r>
      <w:r>
        <w:rPr/>
        <w:t>(5031</w:t>
      </w:r>
      <w:r>
        <w:rPr>
          <w:spacing w:val="-15"/>
        </w:rPr>
        <w:t> 元)、计</w:t>
      </w:r>
      <w:r>
        <w:rPr/>
        <w:t>算机类(4791</w:t>
      </w:r>
      <w:r>
        <w:rPr>
          <w:spacing w:val="-9"/>
        </w:rPr>
        <w:t> 元)、化工类</w:t>
      </w:r>
      <w:r>
        <w:rPr/>
        <w:t>(4563</w:t>
      </w:r>
      <w:r>
        <w:rPr>
          <w:spacing w:val="-15"/>
        </w:rPr>
        <w:t> 元)。</w:t>
      </w:r>
    </w:p>
    <w:p>
      <w:pPr>
        <w:tabs>
          <w:tab w:pos="897" w:val="left" w:leader="none"/>
        </w:tabs>
        <w:spacing w:before="29"/>
        <w:ind w:left="0" w:right="12" w:firstLine="0"/>
        <w:jc w:val="center"/>
        <w:rPr>
          <w:b/>
          <w:sz w:val="21"/>
        </w:rPr>
      </w:pPr>
      <w:r>
        <w:rPr>
          <w:b/>
          <w:sz w:val="21"/>
        </w:rPr>
        <w:t>图</w:t>
      </w:r>
      <w:r>
        <w:rPr>
          <w:b/>
          <w:spacing w:val="-53"/>
          <w:sz w:val="21"/>
        </w:rPr>
        <w:t> </w:t>
      </w:r>
      <w:r>
        <w:rPr>
          <w:b/>
          <w:sz w:val="21"/>
        </w:rPr>
        <w:t>2-21</w:t>
        <w:tab/>
        <w:t>近五年学院与全国高职院校应届毕业生平均起薪点变化示意图</w:t>
      </w:r>
    </w:p>
    <w:p>
      <w:pPr>
        <w:spacing w:before="43"/>
        <w:ind w:left="1584" w:right="42" w:firstLine="0"/>
        <w:jc w:val="center"/>
        <w:rPr>
          <w:b/>
          <w:sz w:val="21"/>
        </w:rPr>
      </w:pPr>
      <w:r>
        <w:rPr>
          <w:b/>
          <w:sz w:val="21"/>
        </w:rPr>
        <w:t>数据来源：麦可思——湖南化工职业技术学院应届毕业生培养质量评价报告(2018)</w:t>
      </w:r>
    </w:p>
    <w:p>
      <w:pPr>
        <w:pStyle w:val="BodyText"/>
        <w:spacing w:before="2"/>
        <w:rPr>
          <w:b/>
          <w:sz w:val="14"/>
        </w:rPr>
      </w:pPr>
    </w:p>
    <w:p>
      <w:pPr>
        <w:pStyle w:val="Heading2"/>
        <w:numPr>
          <w:ilvl w:val="1"/>
          <w:numId w:val="2"/>
        </w:numPr>
        <w:tabs>
          <w:tab w:pos="2471" w:val="left" w:leader="none"/>
          <w:tab w:pos="2472" w:val="left" w:leader="none"/>
        </w:tabs>
        <w:spacing w:line="240" w:lineRule="auto" w:before="0" w:after="0"/>
        <w:ind w:left="2472" w:right="0" w:hanging="574"/>
        <w:jc w:val="left"/>
        <w:rPr>
          <w:rFonts w:ascii="Arial" w:eastAsia="Arial"/>
        </w:rPr>
      </w:pPr>
      <w:bookmarkStart w:name="2.4  职业发展" w:id="89"/>
      <w:bookmarkEnd w:id="89"/>
      <w:r>
        <w:rPr>
          <w:b w:val="0"/>
        </w:rPr>
      </w:r>
      <w:bookmarkStart w:name="_bookmark32" w:id="90"/>
      <w:bookmarkEnd w:id="90"/>
      <w:r>
        <w:rPr>
          <w:b w:val="0"/>
        </w:rPr>
      </w:r>
      <w:bookmarkStart w:name="_bookmark32" w:id="91"/>
      <w:bookmarkEnd w:id="91"/>
      <w:r>
        <w:rPr/>
        <w:t>职业发展</w:t>
      </w:r>
    </w:p>
    <w:p>
      <w:pPr>
        <w:pStyle w:val="BodyText"/>
        <w:spacing w:before="9"/>
        <w:rPr>
          <w:rFonts w:ascii="黑体"/>
          <w:b/>
        </w:rPr>
      </w:pPr>
    </w:p>
    <w:p>
      <w:pPr>
        <w:pStyle w:val="Heading2"/>
        <w:numPr>
          <w:ilvl w:val="2"/>
          <w:numId w:val="2"/>
        </w:numPr>
        <w:tabs>
          <w:tab w:pos="2743" w:val="left" w:leader="none"/>
          <w:tab w:pos="2744" w:val="left" w:leader="none"/>
        </w:tabs>
        <w:spacing w:line="240" w:lineRule="auto" w:before="0" w:after="0"/>
        <w:ind w:left="2743" w:right="0" w:hanging="846"/>
        <w:jc w:val="left"/>
      </w:pPr>
      <w:bookmarkStart w:name="2.4.1  毕业三年后月收入增长较快" w:id="92"/>
      <w:bookmarkEnd w:id="92"/>
      <w:r>
        <w:rPr>
          <w:b w:val="0"/>
        </w:rPr>
      </w:r>
      <w:bookmarkStart w:name="_bookmark33" w:id="93"/>
      <w:bookmarkEnd w:id="93"/>
      <w:r>
        <w:rPr>
          <w:b w:val="0"/>
        </w:rPr>
      </w:r>
      <w:bookmarkStart w:name="_bookmark33" w:id="94"/>
      <w:bookmarkEnd w:id="94"/>
      <w:r>
        <w:rPr/>
        <w:t>毕业三年后月收入增长较快</w:t>
      </w:r>
    </w:p>
    <w:p>
      <w:pPr>
        <w:pStyle w:val="BodyText"/>
        <w:spacing w:before="6"/>
        <w:rPr>
          <w:rFonts w:ascii="黑体"/>
          <w:b/>
          <w:sz w:val="18"/>
        </w:rPr>
      </w:pPr>
    </w:p>
    <w:p>
      <w:pPr>
        <w:pStyle w:val="BodyText"/>
        <w:ind w:left="1898"/>
      </w:pPr>
      <w:r>
        <w:rPr/>
        <w:t>通过抽样调查发现：学院 2013—2015 届高职毕业生毕业三年后月收入均明显增长，</w:t>
      </w:r>
    </w:p>
    <w:p>
      <w:pPr>
        <w:pStyle w:val="BodyText"/>
        <w:spacing w:before="159"/>
        <w:ind w:left="1418"/>
      </w:pPr>
      <w:r>
        <w:rPr/>
        <w:t>其中 2015 届毕业生毕业三年后月收入达 5724 元(抽样调查人数 160 人，有效数据 147</w:t>
      </w:r>
    </w:p>
    <w:p>
      <w:pPr>
        <w:pStyle w:val="BodyText"/>
        <w:spacing w:line="362" w:lineRule="auto" w:before="160" w:after="4"/>
        <w:ind w:left="1418" w:right="1417"/>
      </w:pPr>
      <w:r>
        <w:rPr>
          <w:spacing w:val="-15"/>
        </w:rPr>
        <w:t>人)，与毕业当年相比，增幅达 </w:t>
      </w:r>
      <w:r>
        <w:rPr/>
        <w:t>52.56%</w:t>
      </w:r>
      <w:r>
        <w:rPr>
          <w:spacing w:val="-11"/>
        </w:rPr>
        <w:t>。且远远高于全省高职院校平均水平(湖南省 </w:t>
      </w:r>
      <w:r>
        <w:rPr>
          <w:spacing w:val="-5"/>
        </w:rPr>
        <w:t>2013 </w:t>
      </w:r>
      <w:r>
        <w:rPr/>
        <w:t>届、2014</w:t>
      </w:r>
      <w:r>
        <w:rPr>
          <w:spacing w:val="-11"/>
        </w:rPr>
        <w:t> 届高职毕业生毕业三年后月收入分别为 </w:t>
      </w:r>
      <w:r>
        <w:rPr/>
        <w:t>4245</w:t>
      </w:r>
      <w:r>
        <w:rPr>
          <w:spacing w:val="-20"/>
        </w:rPr>
        <w:t> 元、</w:t>
      </w:r>
      <w:r>
        <w:rPr/>
        <w:t>5137</w:t>
      </w:r>
      <w:r>
        <w:rPr>
          <w:spacing w:val="-15"/>
        </w:rPr>
        <w:t> 元)。</w:t>
      </w:r>
    </w:p>
    <w:p>
      <w:pPr>
        <w:pStyle w:val="BodyText"/>
        <w:ind w:left="1917"/>
        <w:rPr>
          <w:sz w:val="20"/>
        </w:rPr>
      </w:pPr>
      <w:r>
        <w:rPr>
          <w:sz w:val="20"/>
        </w:rPr>
        <w:drawing>
          <wp:inline distT="0" distB="0" distL="0" distR="0">
            <wp:extent cx="5115685" cy="2428875"/>
            <wp:effectExtent l="0" t="0" r="0" b="0"/>
            <wp:docPr id="69" name="image39.png"/>
            <wp:cNvGraphicFramePr>
              <a:graphicFrameLocks noChangeAspect="1"/>
            </wp:cNvGraphicFramePr>
            <a:graphic>
              <a:graphicData uri="http://schemas.openxmlformats.org/drawingml/2006/picture">
                <pic:pic>
                  <pic:nvPicPr>
                    <pic:cNvPr id="70" name="image39.png"/>
                    <pic:cNvPicPr/>
                  </pic:nvPicPr>
                  <pic:blipFill>
                    <a:blip r:embed="rId50" cstate="print"/>
                    <a:stretch>
                      <a:fillRect/>
                    </a:stretch>
                  </pic:blipFill>
                  <pic:spPr>
                    <a:xfrm>
                      <a:off x="0" y="0"/>
                      <a:ext cx="5115685" cy="2428875"/>
                    </a:xfrm>
                    <a:prstGeom prst="rect">
                      <a:avLst/>
                    </a:prstGeom>
                  </pic:spPr>
                </pic:pic>
              </a:graphicData>
            </a:graphic>
          </wp:inline>
        </w:drawing>
      </w:r>
      <w:r>
        <w:rPr>
          <w:sz w:val="20"/>
        </w:rPr>
      </w:r>
    </w:p>
    <w:p>
      <w:pPr>
        <w:tabs>
          <w:tab w:pos="897" w:val="left" w:leader="none"/>
        </w:tabs>
        <w:spacing w:before="154"/>
        <w:ind w:left="0" w:right="14" w:firstLine="0"/>
        <w:jc w:val="center"/>
        <w:rPr>
          <w:b/>
          <w:sz w:val="21"/>
        </w:rPr>
      </w:pPr>
      <w:r>
        <w:rPr>
          <w:b/>
          <w:sz w:val="21"/>
        </w:rPr>
        <w:t>图</w:t>
      </w:r>
      <w:r>
        <w:rPr>
          <w:b/>
          <w:spacing w:val="-52"/>
          <w:sz w:val="21"/>
        </w:rPr>
        <w:t> </w:t>
      </w:r>
      <w:r>
        <w:rPr>
          <w:b/>
          <w:sz w:val="21"/>
        </w:rPr>
        <w:t>2-22</w:t>
        <w:tab/>
        <w:t>学院</w:t>
      </w:r>
      <w:r>
        <w:rPr>
          <w:b/>
          <w:spacing w:val="-51"/>
          <w:sz w:val="21"/>
        </w:rPr>
        <w:t> </w:t>
      </w:r>
      <w:r>
        <w:rPr>
          <w:b/>
          <w:sz w:val="21"/>
        </w:rPr>
        <w:t>2013—2015</w:t>
      </w:r>
      <w:r>
        <w:rPr>
          <w:b/>
          <w:spacing w:val="-55"/>
          <w:sz w:val="21"/>
        </w:rPr>
        <w:t> </w:t>
      </w:r>
      <w:r>
        <w:rPr>
          <w:b/>
          <w:sz w:val="21"/>
        </w:rPr>
        <w:t>届毕业生毕业三年后收月收入变化示意图</w:t>
      </w:r>
    </w:p>
    <w:p>
      <w:pPr>
        <w:spacing w:before="43"/>
        <w:ind w:left="3072" w:right="42" w:firstLine="0"/>
        <w:jc w:val="center"/>
        <w:rPr>
          <w:b/>
          <w:sz w:val="21"/>
        </w:rPr>
      </w:pPr>
      <w:r>
        <w:rPr>
          <w:b/>
          <w:sz w:val="21"/>
        </w:rPr>
        <w:t>数据来源：学院 2016—2018 年毕业生抽样跟踪调查数据(招就处)</w:t>
      </w:r>
    </w:p>
    <w:p>
      <w:pPr>
        <w:spacing w:after="0"/>
        <w:jc w:val="center"/>
        <w:rPr>
          <w:sz w:val="21"/>
        </w:rPr>
        <w:sectPr>
          <w:pgSz w:w="11910" w:h="16840"/>
          <w:pgMar w:header="780" w:footer="1241" w:top="1260" w:bottom="1440" w:left="0" w:right="0"/>
        </w:sectPr>
      </w:pPr>
    </w:p>
    <w:p>
      <w:pPr>
        <w:pStyle w:val="Heading2"/>
        <w:numPr>
          <w:ilvl w:val="2"/>
          <w:numId w:val="2"/>
        </w:numPr>
        <w:tabs>
          <w:tab w:pos="2743" w:val="left" w:leader="none"/>
          <w:tab w:pos="2744" w:val="left" w:leader="none"/>
        </w:tabs>
        <w:spacing w:line="240" w:lineRule="auto" w:before="141" w:after="0"/>
        <w:ind w:left="2743" w:right="0" w:hanging="846"/>
        <w:jc w:val="left"/>
      </w:pPr>
      <w:bookmarkStart w:name="2.4.2  毕业生职业发展通道顺畅" w:id="95"/>
      <w:bookmarkEnd w:id="95"/>
      <w:r>
        <w:rPr>
          <w:b w:val="0"/>
        </w:rPr>
      </w:r>
      <w:bookmarkStart w:name="_bookmark34" w:id="96"/>
      <w:bookmarkEnd w:id="96"/>
      <w:r>
        <w:rPr>
          <w:b w:val="0"/>
        </w:rPr>
      </w:r>
      <w:bookmarkStart w:name="_bookmark34" w:id="97"/>
      <w:bookmarkEnd w:id="97"/>
      <w:r>
        <w:rPr/>
        <w:t>毕业生职业发展通道顺畅</w:t>
      </w:r>
    </w:p>
    <w:p>
      <w:pPr>
        <w:pStyle w:val="BodyText"/>
        <w:spacing w:before="6"/>
        <w:rPr>
          <w:rFonts w:ascii="黑体"/>
          <w:b/>
          <w:sz w:val="18"/>
        </w:rPr>
      </w:pPr>
    </w:p>
    <w:p>
      <w:pPr>
        <w:pStyle w:val="BodyText"/>
        <w:spacing w:line="364" w:lineRule="auto"/>
        <w:ind w:left="1418" w:right="1291" w:firstLine="480"/>
      </w:pPr>
      <w:r>
        <w:rPr>
          <w:spacing w:val="-4"/>
        </w:rPr>
        <w:t>基于学院毕业生就业管业相关度高、职业吻合度高、收入高的良好基础，毕业生就</w:t>
      </w:r>
      <w:r>
        <w:rPr>
          <w:spacing w:val="-15"/>
        </w:rPr>
        <w:t>业稳定率长期保持较高水平。用人单位反馈信息显示：学院毕业生在用人单位</w:t>
      </w:r>
      <w:r>
        <w:rPr>
          <w:b/>
          <w:spacing w:val="-3"/>
        </w:rPr>
        <w:t>在留得下、</w:t>
      </w:r>
      <w:r>
        <w:rPr>
          <w:b/>
        </w:rPr>
        <w:t>稳得住、上的来，</w:t>
      </w:r>
      <w:r>
        <w:rPr>
          <w:spacing w:val="-2"/>
        </w:rPr>
        <w:t>相当比例毕业生也已成为单位骨干、中层管理人员。以 </w:t>
      </w:r>
      <w:r>
        <w:rPr/>
        <w:t>2015</w:t>
      </w:r>
      <w:r>
        <w:rPr>
          <w:spacing w:val="-12"/>
        </w:rPr>
        <w:t> 届毕业</w:t>
      </w:r>
    </w:p>
    <w:p>
      <w:pPr>
        <w:pStyle w:val="BodyText"/>
        <w:spacing w:line="364" w:lineRule="auto"/>
        <w:ind w:left="1418" w:right="1416"/>
        <w:jc w:val="both"/>
      </w:pPr>
      <w:r>
        <w:rPr>
          <w:spacing w:val="-3"/>
        </w:rPr>
        <w:t>生为例，抽样调查数据显示：我院 </w:t>
      </w:r>
      <w:r>
        <w:rPr/>
        <w:t>2015</w:t>
      </w:r>
      <w:r>
        <w:rPr>
          <w:spacing w:val="-6"/>
        </w:rPr>
        <w:t> 届毕业生毕业后三年内有较高比例有过职位晋</w:t>
      </w:r>
      <w:r>
        <w:rPr>
          <w:spacing w:val="-10"/>
        </w:rPr>
        <w:t>升的学生比例高达 </w:t>
      </w:r>
      <w:r>
        <w:rPr/>
        <w:t>83.38</w:t>
      </w:r>
      <w:r>
        <w:rPr>
          <w:spacing w:val="-2"/>
        </w:rPr>
        <w:t>%，三年内有过两次以上职位晋升的比例达 </w:t>
      </w:r>
      <w:r>
        <w:rPr/>
        <w:t>53.24%。同时，在有过职位晋升的毕业生中，更大比例人员晋升到生产技术岗位。</w:t>
      </w:r>
    </w:p>
    <w:p>
      <w:pPr>
        <w:pStyle w:val="BodyText"/>
        <w:ind w:left="1872"/>
        <w:rPr>
          <w:sz w:val="20"/>
        </w:rPr>
      </w:pPr>
      <w:r>
        <w:rPr>
          <w:sz w:val="20"/>
        </w:rPr>
        <w:drawing>
          <wp:inline distT="0" distB="0" distL="0" distR="0">
            <wp:extent cx="5180170" cy="2752725"/>
            <wp:effectExtent l="0" t="0" r="0" b="0"/>
            <wp:docPr id="71" name="image40.png"/>
            <wp:cNvGraphicFramePr>
              <a:graphicFrameLocks noChangeAspect="1"/>
            </wp:cNvGraphicFramePr>
            <a:graphic>
              <a:graphicData uri="http://schemas.openxmlformats.org/drawingml/2006/picture">
                <pic:pic>
                  <pic:nvPicPr>
                    <pic:cNvPr id="72" name="image40.png"/>
                    <pic:cNvPicPr/>
                  </pic:nvPicPr>
                  <pic:blipFill>
                    <a:blip r:embed="rId51" cstate="print"/>
                    <a:stretch>
                      <a:fillRect/>
                    </a:stretch>
                  </pic:blipFill>
                  <pic:spPr>
                    <a:xfrm>
                      <a:off x="0" y="0"/>
                      <a:ext cx="5180170" cy="2752725"/>
                    </a:xfrm>
                    <a:prstGeom prst="rect">
                      <a:avLst/>
                    </a:prstGeom>
                  </pic:spPr>
                </pic:pic>
              </a:graphicData>
            </a:graphic>
          </wp:inline>
        </w:drawing>
      </w:r>
      <w:r>
        <w:rPr>
          <w:sz w:val="20"/>
        </w:rPr>
      </w:r>
    </w:p>
    <w:p>
      <w:pPr>
        <w:tabs>
          <w:tab w:pos="897" w:val="left" w:leader="none"/>
        </w:tabs>
        <w:spacing w:before="151"/>
        <w:ind w:left="0" w:right="14" w:firstLine="0"/>
        <w:jc w:val="center"/>
        <w:rPr>
          <w:b/>
          <w:sz w:val="21"/>
        </w:rPr>
      </w:pPr>
      <w:r>
        <w:rPr>
          <w:b/>
          <w:sz w:val="21"/>
        </w:rPr>
        <w:t>图</w:t>
      </w:r>
      <w:r>
        <w:rPr>
          <w:b/>
          <w:spacing w:val="-52"/>
          <w:sz w:val="21"/>
        </w:rPr>
        <w:t> </w:t>
      </w:r>
      <w:r>
        <w:rPr>
          <w:b/>
          <w:sz w:val="21"/>
        </w:rPr>
        <w:t>2-23</w:t>
        <w:tab/>
        <w:t>学院</w:t>
      </w:r>
      <w:r>
        <w:rPr>
          <w:b/>
          <w:spacing w:val="-51"/>
          <w:sz w:val="21"/>
        </w:rPr>
        <w:t> </w:t>
      </w:r>
      <w:r>
        <w:rPr>
          <w:b/>
          <w:sz w:val="21"/>
        </w:rPr>
        <w:t>2013—2015</w:t>
      </w:r>
      <w:r>
        <w:rPr>
          <w:b/>
          <w:spacing w:val="-55"/>
          <w:sz w:val="21"/>
        </w:rPr>
        <w:t> </w:t>
      </w:r>
      <w:r>
        <w:rPr>
          <w:b/>
          <w:sz w:val="21"/>
        </w:rPr>
        <w:t>届毕业生毕业三年内职位晋升情况示意图</w:t>
      </w:r>
    </w:p>
    <w:p>
      <w:pPr>
        <w:spacing w:before="43"/>
        <w:ind w:left="3072" w:right="42" w:firstLine="0"/>
        <w:jc w:val="center"/>
        <w:rPr>
          <w:b/>
          <w:sz w:val="21"/>
        </w:rPr>
      </w:pPr>
      <w:r>
        <w:rPr>
          <w:b/>
          <w:sz w:val="21"/>
        </w:rPr>
        <w:t>数据来源：学院 2016—2018 年毕业生抽样跟踪调查数据(招就处)</w:t>
      </w:r>
    </w:p>
    <w:p>
      <w:pPr>
        <w:pStyle w:val="BodyText"/>
        <w:spacing w:before="11"/>
        <w:rPr>
          <w:b/>
          <w:sz w:val="7"/>
        </w:rPr>
      </w:pPr>
    </w:p>
    <w:p>
      <w:pPr>
        <w:pStyle w:val="Heading2"/>
        <w:numPr>
          <w:ilvl w:val="1"/>
          <w:numId w:val="2"/>
        </w:numPr>
        <w:tabs>
          <w:tab w:pos="2471" w:val="left" w:leader="none"/>
          <w:tab w:pos="2472" w:val="left" w:leader="none"/>
        </w:tabs>
        <w:spacing w:line="240" w:lineRule="auto" w:before="80" w:after="0"/>
        <w:ind w:left="2472" w:right="0" w:hanging="574"/>
        <w:jc w:val="left"/>
        <w:rPr>
          <w:rFonts w:ascii="Arial" w:eastAsia="Arial"/>
        </w:rPr>
      </w:pPr>
      <w:bookmarkStart w:name="2.5  创新创业" w:id="98"/>
      <w:bookmarkEnd w:id="98"/>
      <w:r>
        <w:rPr>
          <w:b w:val="0"/>
        </w:rPr>
      </w:r>
      <w:bookmarkStart w:name="_bookmark35" w:id="99"/>
      <w:bookmarkEnd w:id="99"/>
      <w:r>
        <w:rPr>
          <w:b w:val="0"/>
        </w:rPr>
      </w:r>
      <w:bookmarkStart w:name="_bookmark35" w:id="100"/>
      <w:bookmarkEnd w:id="100"/>
      <w:r>
        <w:rPr/>
        <w:t>创新创业</w:t>
      </w:r>
    </w:p>
    <w:p>
      <w:pPr>
        <w:pStyle w:val="BodyText"/>
        <w:spacing w:before="7"/>
        <w:rPr>
          <w:rFonts w:ascii="黑体"/>
          <w:b/>
        </w:rPr>
      </w:pPr>
    </w:p>
    <w:p>
      <w:pPr>
        <w:pStyle w:val="BodyText"/>
        <w:spacing w:line="364" w:lineRule="auto"/>
        <w:ind w:left="1418" w:right="1417" w:firstLine="480"/>
      </w:pPr>
      <w:r>
        <w:rPr>
          <w:spacing w:val="-8"/>
        </w:rPr>
        <w:t>学院实施“四阶”创新创业教育孵化平台的构建和项目的管理，提升了学生创新能</w:t>
      </w:r>
      <w:r>
        <w:rPr/>
        <w:t>力、创业能力和创业成功率。</w:t>
      </w:r>
    </w:p>
    <w:p>
      <w:pPr>
        <w:pStyle w:val="BodyText"/>
        <w:spacing w:line="364" w:lineRule="auto" w:before="1"/>
        <w:ind w:left="1418" w:right="1408" w:firstLine="480"/>
        <w:jc w:val="both"/>
      </w:pPr>
      <w:r>
        <w:rPr>
          <w:b/>
        </w:rPr>
        <w:t>创新创业类社团。</w:t>
      </w:r>
      <w:r>
        <w:rPr>
          <w:spacing w:val="-3"/>
        </w:rPr>
        <w:t>学院成立了晨曦创业协会和与专业相关的 </w:t>
      </w:r>
      <w:r>
        <w:rPr/>
        <w:t>14</w:t>
      </w:r>
      <w:r>
        <w:rPr>
          <w:spacing w:val="-7"/>
        </w:rPr>
        <w:t> 个创新社团，选拔</w:t>
      </w:r>
      <w:r>
        <w:rPr>
          <w:spacing w:val="-10"/>
        </w:rPr>
        <w:t>了一批专业基础较好、有创新创业意识的学生为成员，聘请专业教师、企业专家担任社</w:t>
      </w:r>
      <w:r>
        <w:rPr>
          <w:spacing w:val="-9"/>
        </w:rPr>
        <w:t>团导师，专业能力突出的学生担任助理，指导社团成员交流专业知识、了解专业最新动</w:t>
      </w:r>
      <w:r>
        <w:rPr>
          <w:spacing w:val="-8"/>
        </w:rPr>
        <w:t>态、探索专业领域问题、开展与专业相关实践活动，让创新创业社团成为碰撞创新创业</w:t>
      </w:r>
      <w:r>
        <w:rPr>
          <w:spacing w:val="-11"/>
        </w:rPr>
        <w:t>思想火花、产生创新创业点子的摇篮。确保学院每个专业或几个相近专业有 </w:t>
      </w:r>
      <w:r>
        <w:rPr/>
        <w:t>1</w:t>
      </w:r>
      <w:r>
        <w:rPr>
          <w:spacing w:val="-12"/>
        </w:rPr>
        <w:t> 个专业类</w:t>
      </w:r>
      <w:r>
        <w:rPr>
          <w:spacing w:val="-14"/>
        </w:rPr>
        <w:t>社团，每个重点建设专业群培育 </w:t>
      </w:r>
      <w:r>
        <w:rPr/>
        <w:t>1</w:t>
      </w:r>
      <w:r>
        <w:rPr>
          <w:spacing w:val="-11"/>
        </w:rPr>
        <w:t> 个全国同类院校有影响力专业社团。</w:t>
      </w:r>
      <w:r>
        <w:rPr/>
        <w:t>2018</w:t>
      </w:r>
      <w:r>
        <w:rPr>
          <w:spacing w:val="-10"/>
        </w:rPr>
        <w:t> 年全省大学</w:t>
      </w:r>
      <w:r>
        <w:rPr>
          <w:spacing w:val="-17"/>
        </w:rPr>
        <w:t>生社团就业创业能力挑战赛中，学院化工协会从 </w:t>
      </w:r>
      <w:r>
        <w:rPr/>
        <w:t>1000</w:t>
      </w:r>
      <w:r>
        <w:rPr>
          <w:spacing w:val="-15"/>
        </w:rPr>
        <w:t> 余家大学生社团脱颖而出，成为 </w:t>
      </w:r>
      <w:r>
        <w:rPr/>
        <w:t>8 个双优社团之一。</w:t>
      </w:r>
    </w:p>
    <w:p>
      <w:pPr>
        <w:spacing w:after="0" w:line="364" w:lineRule="auto"/>
        <w:jc w:val="both"/>
        <w:sectPr>
          <w:pgSz w:w="11910" w:h="16840"/>
          <w:pgMar w:header="780" w:footer="1241" w:top="1260" w:bottom="1440" w:left="0" w:right="0"/>
        </w:sectPr>
      </w:pPr>
    </w:p>
    <w:p>
      <w:pPr>
        <w:pStyle w:val="BodyText"/>
        <w:spacing w:line="364" w:lineRule="auto" w:before="141"/>
        <w:ind w:left="1418" w:right="1351" w:firstLine="480"/>
        <w:jc w:val="both"/>
      </w:pPr>
      <w:r>
        <w:rPr>
          <w:b/>
        </w:rPr>
        <w:t>创新创业实验室。</w:t>
      </w:r>
      <w:r>
        <w:rPr>
          <w:spacing w:val="-1"/>
        </w:rPr>
        <w:t>学院开放校内各专业实训室，围绕生物医药、新能源、新材料、</w:t>
      </w:r>
      <w:r>
        <w:rPr>
          <w:spacing w:val="-4"/>
        </w:rPr>
        <w:t>节能环保等战略性新兴产业，结合重点专业群联合企业在校内设立了化妆品、涂料、工</w:t>
      </w:r>
      <w:r>
        <w:rPr>
          <w:spacing w:val="-6"/>
        </w:rPr>
        <w:t>业机器人、工业自动化、制药技术等方面协同创新中心，面积达 </w:t>
      </w:r>
      <w:r>
        <w:rPr/>
        <w:t>2300</w:t>
      </w:r>
      <w:r>
        <w:rPr>
          <w:spacing w:val="-7"/>
        </w:rPr>
        <w:t> 余平方米，企业</w:t>
      </w:r>
      <w:r>
        <w:rPr>
          <w:spacing w:val="-9"/>
        </w:rPr>
        <w:t>专家、教师、学生共同参与技术创新、合作开展应用研究，共同进行新产品开发，让校企协同创新中心成为提升学生创新创业能力的重要基地。</w:t>
      </w:r>
    </w:p>
    <w:p>
      <w:pPr>
        <w:pStyle w:val="BodyText"/>
        <w:spacing w:line="364" w:lineRule="auto"/>
        <w:ind w:left="1418" w:right="1293" w:firstLine="480"/>
      </w:pPr>
      <w:r>
        <w:rPr>
          <w:b/>
          <w:spacing w:val="-3"/>
        </w:rPr>
        <w:t>创新创业项目工作室。</w:t>
      </w:r>
      <w:r>
        <w:rPr>
          <w:spacing w:val="-3"/>
        </w:rPr>
        <w:t>遴选有可行性的创新创业点子，鼓励学生独立组建创新创业</w:t>
      </w:r>
      <w:r>
        <w:rPr>
          <w:spacing w:val="-7"/>
        </w:rPr>
        <w:t>项目团队将其付诸实践，成立自己的项目工作室，团队自主选择导师，指导他们出创新</w:t>
      </w:r>
      <w:r>
        <w:rPr>
          <w:spacing w:val="-9"/>
        </w:rPr>
        <w:t>创业成果。将企业生产运营环节中问题作为工作室工作项目，让创新与岗位现实需要更</w:t>
      </w:r>
      <w:r>
        <w:rPr>
          <w:spacing w:val="-15"/>
        </w:rPr>
        <w:t>密切；学院给予资金、场地、设备等方面支持，每年择优支持一批大学生创新创业项目。</w:t>
      </w:r>
      <w:r>
        <w:rPr>
          <w:spacing w:val="-10"/>
        </w:rPr>
        <w:t>目前，已有 </w:t>
      </w:r>
      <w:r>
        <w:rPr/>
        <w:t>28</w:t>
      </w:r>
      <w:r>
        <w:rPr>
          <w:spacing w:val="-8"/>
        </w:rPr>
        <w:t> 个创新项目工作室</w:t>
      </w:r>
      <w:r>
        <w:rPr/>
        <w:t>，14</w:t>
      </w:r>
      <w:r>
        <w:rPr>
          <w:spacing w:val="-8"/>
        </w:rPr>
        <w:t> 家创业项目团队入驻。近两年对创新创业项目扶</w:t>
      </w:r>
      <w:r>
        <w:rPr>
          <w:spacing w:val="-19"/>
        </w:rPr>
        <w:t>持的资金 </w:t>
      </w:r>
      <w:r>
        <w:rPr/>
        <w:t>11.8</w:t>
      </w:r>
      <w:r>
        <w:rPr>
          <w:spacing w:val="-12"/>
        </w:rPr>
        <w:t> 万元，颁发创新创业奖学金 </w:t>
      </w:r>
      <w:r>
        <w:rPr/>
        <w:t>5.3</w:t>
      </w:r>
      <w:r>
        <w:rPr>
          <w:spacing w:val="-15"/>
        </w:rPr>
        <w:t> 万元。</w:t>
      </w:r>
    </w:p>
    <w:p>
      <w:pPr>
        <w:pStyle w:val="BodyText"/>
        <w:spacing w:line="364" w:lineRule="auto"/>
        <w:ind w:left="1418" w:right="1297" w:firstLine="480"/>
      </w:pPr>
      <w:r>
        <w:rPr>
          <w:b/>
          <w:spacing w:val="-4"/>
        </w:rPr>
        <w:t>创新创业孵化园。</w:t>
      </w:r>
      <w:r>
        <w:rPr>
          <w:spacing w:val="-2"/>
        </w:rPr>
        <w:t>学院积极扩大校内创新创业孵化基地规模，建设融创新创业线上</w:t>
      </w:r>
      <w:r>
        <w:rPr>
          <w:spacing w:val="-8"/>
        </w:rPr>
        <w:t>教学、技术技能创新实践、创新创业项目孵化、创新创业指导服务、创新创业成果展示</w:t>
      </w:r>
      <w:r>
        <w:rPr>
          <w:spacing w:val="-16"/>
        </w:rPr>
        <w:t>于一体，面积达 </w:t>
      </w:r>
      <w:r>
        <w:rPr/>
        <w:t>1800</w:t>
      </w:r>
      <w:r>
        <w:rPr>
          <w:spacing w:val="-10"/>
        </w:rPr>
        <w:t> 余平方米的大学生创新创业基地，使之达到省级示范性基地标准。</w:t>
      </w:r>
      <w:r>
        <w:rPr>
          <w:spacing w:val="-12"/>
        </w:rPr>
        <w:t>基地现有 </w:t>
      </w:r>
      <w:r>
        <w:rPr/>
        <w:t>42</w:t>
      </w:r>
      <w:r>
        <w:rPr>
          <w:spacing w:val="-13"/>
        </w:rPr>
        <w:t> 个项目团队入驻，创新型项目占 </w:t>
      </w:r>
      <w:r>
        <w:rPr>
          <w:spacing w:val="-3"/>
        </w:rPr>
        <w:t>66.67%</w:t>
      </w:r>
      <w:r>
        <w:rPr>
          <w:spacing w:val="-9"/>
        </w:rPr>
        <w:t>，创业型项目占 </w:t>
      </w:r>
      <w:r>
        <w:rPr>
          <w:spacing w:val="-3"/>
        </w:rPr>
        <w:t>33.33%</w:t>
      </w:r>
      <w:r>
        <w:rPr>
          <w:spacing w:val="-2"/>
        </w:rPr>
        <w:t>，与专业相</w:t>
      </w:r>
      <w:r>
        <w:rPr>
          <w:spacing w:val="-17"/>
        </w:rPr>
        <w:t>关团队 </w:t>
      </w:r>
      <w:r>
        <w:rPr/>
        <w:t>35</w:t>
      </w:r>
      <w:r>
        <w:rPr>
          <w:spacing w:val="-12"/>
        </w:rPr>
        <w:t> 个，已发展成为一个门类众多的微型创新创业特区。学院积极争取省教育厅、</w:t>
      </w:r>
      <w:r>
        <w:rPr>
          <w:spacing w:val="-5"/>
        </w:rPr>
        <w:t>科技厅和株洲市教育局、人社局、科技局、发改委等政府部门的支持，加强了与株洲职</w:t>
      </w:r>
      <w:r>
        <w:rPr>
          <w:spacing w:val="-6"/>
        </w:rPr>
        <w:t>教城智谷、株洲</w:t>
      </w:r>
      <w:r>
        <w:rPr>
          <w:spacing w:val="-17"/>
        </w:rPr>
        <w:t>·</w:t>
      </w:r>
      <w:r>
        <w:rPr>
          <w:spacing w:val="-2"/>
        </w:rPr>
        <w:t>中国动力谷自主创新园的合作，积极利用地方政府和园区资源共同建</w:t>
      </w:r>
      <w:r>
        <w:rPr>
          <w:spacing w:val="-7"/>
        </w:rPr>
        <w:t>设大学生创业基地。现为株洲市创业孵化园成员单位，近两年有 </w:t>
      </w:r>
      <w:r>
        <w:rPr/>
        <w:t>2</w:t>
      </w:r>
      <w:r>
        <w:rPr>
          <w:spacing w:val="-9"/>
        </w:rPr>
        <w:t> 个项目入园孵化，有</w:t>
      </w:r>
    </w:p>
    <w:p>
      <w:pPr>
        <w:pStyle w:val="BodyText"/>
        <w:spacing w:line="364" w:lineRule="auto"/>
        <w:ind w:left="1898" w:right="1297" w:hanging="480"/>
      </w:pPr>
      <w:r>
        <w:rPr/>
        <w:t>2</w:t>
      </w:r>
      <w:r>
        <w:rPr>
          <w:spacing w:val="-18"/>
        </w:rPr>
        <w:t> 项团队实现创新创业成果转化，有 </w:t>
      </w:r>
      <w:r>
        <w:rPr/>
        <w:t>14</w:t>
      </w:r>
      <w:r>
        <w:rPr>
          <w:spacing w:val="-14"/>
        </w:rPr>
        <w:t> 个项目成功申报 </w:t>
      </w:r>
      <w:r>
        <w:rPr/>
        <w:t>8000</w:t>
      </w:r>
      <w:r>
        <w:rPr>
          <w:spacing w:val="-9"/>
        </w:rPr>
        <w:t> 元的株洲市创业扶持资金。</w:t>
      </w:r>
      <w:r>
        <w:rPr>
          <w:spacing w:val="-10"/>
        </w:rPr>
        <w:t>麦可思调查显示：学院近 </w:t>
      </w:r>
      <w:r>
        <w:rPr/>
        <w:t>2014—2017</w:t>
      </w:r>
      <w:r>
        <w:rPr>
          <w:spacing w:val="-15"/>
        </w:rPr>
        <w:t> 届毕业生的“自主创业”的比例分别为 </w:t>
      </w:r>
      <w:r>
        <w:rPr/>
        <w:t>4.8%</w:t>
      </w:r>
      <w:r>
        <w:rPr>
          <w:spacing w:val="-18"/>
        </w:rPr>
        <w:t>、</w:t>
      </w:r>
    </w:p>
    <w:p>
      <w:pPr>
        <w:pStyle w:val="BodyText"/>
        <w:spacing w:line="364" w:lineRule="auto"/>
        <w:ind w:left="1418" w:right="1417"/>
        <w:jc w:val="both"/>
      </w:pPr>
      <w:r>
        <w:rPr/>
        <w:t>5.9%</w:t>
      </w:r>
      <w:r>
        <w:rPr>
          <w:spacing w:val="-22"/>
        </w:rPr>
        <w:t>、</w:t>
      </w:r>
      <w:r>
        <w:rPr/>
        <w:t>4.7%</w:t>
      </w:r>
      <w:r>
        <w:rPr>
          <w:spacing w:val="-24"/>
        </w:rPr>
        <w:t>、</w:t>
      </w:r>
      <w:r>
        <w:rPr>
          <w:spacing w:val="-3"/>
        </w:rPr>
        <w:t>4.7%，2018</w:t>
      </w:r>
      <w:r>
        <w:rPr>
          <w:spacing w:val="-12"/>
        </w:rPr>
        <w:t> 届，在毕业生规模大幅增长的背景下，毕业生创业率强势增长</w:t>
      </w:r>
      <w:r>
        <w:rPr>
          <w:spacing w:val="-20"/>
        </w:rPr>
        <w:t>到了 </w:t>
      </w:r>
      <w:r>
        <w:rPr/>
        <w:t>5.18%，</w:t>
      </w:r>
      <w:r>
        <w:rPr>
          <w:spacing w:val="-5"/>
        </w:rPr>
        <w:t>比全国高职院校平均水平高出 </w:t>
      </w:r>
      <w:r>
        <w:rPr/>
        <w:t>2</w:t>
      </w:r>
      <w:r>
        <w:rPr>
          <w:spacing w:val="-9"/>
        </w:rPr>
        <w:t> 个百分点以上。近几年，学院先后荣获首</w:t>
      </w:r>
      <w:r>
        <w:rPr>
          <w:spacing w:val="-5"/>
        </w:rPr>
        <w:t>批湖南省大学生就业创业示范校；连续四届获得湖南省就业工作“一把手工程”优秀单</w:t>
      </w:r>
      <w:r>
        <w:rPr/>
        <w:t>位称号并荣膺湖南省大学生就业创业优秀示范校。</w:t>
      </w:r>
    </w:p>
    <w:p>
      <w:pPr>
        <w:spacing w:after="0" w:line="364" w:lineRule="auto"/>
        <w:jc w:val="both"/>
        <w:sectPr>
          <w:pgSz w:w="11910" w:h="16840"/>
          <w:pgMar w:header="780" w:footer="1241" w:top="1260" w:bottom="1440" w:left="0" w:right="0"/>
        </w:sectPr>
      </w:pPr>
    </w:p>
    <w:p>
      <w:pPr>
        <w:pStyle w:val="BodyText"/>
        <w:spacing w:before="11" w:after="1"/>
        <w:rPr>
          <w:sz w:val="10"/>
        </w:rPr>
      </w:pPr>
    </w:p>
    <w:p>
      <w:pPr>
        <w:pStyle w:val="BodyText"/>
        <w:ind w:left="1948"/>
        <w:rPr>
          <w:sz w:val="20"/>
        </w:rPr>
      </w:pPr>
      <w:r>
        <w:rPr>
          <w:sz w:val="20"/>
        </w:rPr>
        <w:drawing>
          <wp:inline distT="0" distB="0" distL="0" distR="0">
            <wp:extent cx="5085709" cy="2752725"/>
            <wp:effectExtent l="0" t="0" r="0" b="0"/>
            <wp:docPr id="73" name="image41.png"/>
            <wp:cNvGraphicFramePr>
              <a:graphicFrameLocks noChangeAspect="1"/>
            </wp:cNvGraphicFramePr>
            <a:graphic>
              <a:graphicData uri="http://schemas.openxmlformats.org/drawingml/2006/picture">
                <pic:pic>
                  <pic:nvPicPr>
                    <pic:cNvPr id="74" name="image41.png"/>
                    <pic:cNvPicPr/>
                  </pic:nvPicPr>
                  <pic:blipFill>
                    <a:blip r:embed="rId52" cstate="print"/>
                    <a:stretch>
                      <a:fillRect/>
                    </a:stretch>
                  </pic:blipFill>
                  <pic:spPr>
                    <a:xfrm>
                      <a:off x="0" y="0"/>
                      <a:ext cx="5085709" cy="2752725"/>
                    </a:xfrm>
                    <a:prstGeom prst="rect">
                      <a:avLst/>
                    </a:prstGeom>
                  </pic:spPr>
                </pic:pic>
              </a:graphicData>
            </a:graphic>
          </wp:inline>
        </w:drawing>
      </w:r>
      <w:r>
        <w:rPr>
          <w:sz w:val="20"/>
        </w:rPr>
      </w:r>
    </w:p>
    <w:p>
      <w:pPr>
        <w:pStyle w:val="BodyText"/>
        <w:spacing w:before="8"/>
        <w:rPr>
          <w:sz w:val="6"/>
        </w:rPr>
      </w:pPr>
    </w:p>
    <w:p>
      <w:pPr>
        <w:tabs>
          <w:tab w:pos="897" w:val="left" w:leader="none"/>
        </w:tabs>
        <w:spacing w:before="70"/>
        <w:ind w:left="0" w:right="21" w:firstLine="0"/>
        <w:jc w:val="center"/>
        <w:rPr>
          <w:b/>
          <w:sz w:val="21"/>
        </w:rPr>
      </w:pPr>
      <w:r>
        <w:rPr>
          <w:b/>
          <w:sz w:val="21"/>
        </w:rPr>
        <w:t>图</w:t>
      </w:r>
      <w:r>
        <w:rPr>
          <w:b/>
          <w:spacing w:val="-52"/>
          <w:sz w:val="21"/>
        </w:rPr>
        <w:t> </w:t>
      </w:r>
      <w:r>
        <w:rPr>
          <w:b/>
          <w:sz w:val="21"/>
        </w:rPr>
        <w:t>2-24</w:t>
        <w:tab/>
        <w:t>学院近五届毕业生创业率情况示意图</w:t>
      </w:r>
    </w:p>
    <w:p>
      <w:pPr>
        <w:spacing w:before="43"/>
        <w:ind w:left="2130" w:right="42" w:firstLine="0"/>
        <w:jc w:val="center"/>
        <w:rPr>
          <w:b/>
          <w:sz w:val="21"/>
        </w:rPr>
      </w:pPr>
      <w:r>
        <w:rPr>
          <w:b/>
          <w:sz w:val="21"/>
        </w:rPr>
        <w:t>数据来源：麦可思——湖南化工职业技术学院应届毕业生培养质量评价报告</w:t>
      </w:r>
    </w:p>
    <w:p>
      <w:pPr>
        <w:pStyle w:val="Heading2"/>
        <w:spacing w:before="102"/>
        <w:ind w:left="1898" w:firstLine="0"/>
      </w:pPr>
      <w:bookmarkStart w:name="【典型案例9】涂料行业领头雁——谭昊涯" w:id="101"/>
      <w:bookmarkEnd w:id="101"/>
      <w:r>
        <w:rPr>
          <w:b w:val="0"/>
        </w:rPr>
      </w:r>
      <w:bookmarkStart w:name="_bookmark36" w:id="102"/>
      <w:bookmarkEnd w:id="102"/>
      <w:r>
        <w:rPr>
          <w:b w:val="0"/>
        </w:rPr>
      </w:r>
      <w:r>
        <w:rPr/>
        <w:t>【典型案例 9】涂料行业领头雁——谭昊涯</w:t>
      </w:r>
    </w:p>
    <w:p>
      <w:pPr>
        <w:pStyle w:val="BodyText"/>
        <w:spacing w:before="6"/>
        <w:rPr>
          <w:rFonts w:ascii="黑体"/>
          <w:b/>
          <w:sz w:val="18"/>
        </w:rPr>
      </w:pPr>
    </w:p>
    <w:p>
      <w:pPr>
        <w:pStyle w:val="BodyText"/>
        <w:spacing w:line="364" w:lineRule="auto"/>
        <w:ind w:left="1418" w:right="1297" w:firstLine="480"/>
      </w:pPr>
      <w:r>
        <w:rPr>
          <w:color w:val="3366FF"/>
          <w:spacing w:val="-9"/>
        </w:rPr>
        <w:t>我院分析 </w:t>
      </w:r>
      <w:r>
        <w:rPr>
          <w:color w:val="3366FF"/>
        </w:rPr>
        <w:t>803</w:t>
      </w:r>
      <w:r>
        <w:rPr>
          <w:color w:val="3366FF"/>
          <w:spacing w:val="-3"/>
        </w:rPr>
        <w:t> 班校友谭昊涯创办的珠海东诚光固化材料有限公司是世界上第一家UV</w:t>
      </w:r>
      <w:r>
        <w:rPr>
          <w:color w:val="3366FF"/>
          <w:spacing w:val="-15"/>
        </w:rPr>
        <w:t> 氟碳彩色涂料开发生产企业，是国内第一家将可见光固化技术应用于工业化生产的技</w:t>
      </w:r>
      <w:r>
        <w:rPr>
          <w:color w:val="3366FF"/>
          <w:spacing w:val="-24"/>
        </w:rPr>
        <w:t>术密集型企业。</w:t>
      </w:r>
      <w:r>
        <w:rPr>
          <w:color w:val="3366FF"/>
        </w:rPr>
        <w:t>UV</w:t>
      </w:r>
      <w:r>
        <w:rPr>
          <w:color w:val="3366FF"/>
          <w:spacing w:val="-18"/>
        </w:rPr>
        <w:t> 氟碳彩色涂料这一重大发明，填补世界空白，获得多项国家发明专利。</w:t>
      </w:r>
      <w:r>
        <w:rPr>
          <w:color w:val="3366FF"/>
          <w:spacing w:val="-10"/>
        </w:rPr>
        <w:t>谭昊涯做为行业的“领头雁”，工匠精神在他的身上体现的淋漓尽致，从进入涂料行业伊始，他不断雕琢自己的产品，不断改善自己的工艺，追求完美和极致，敬业、精益是他成功的秘诀。做为行业领域翘楚，他把他对工匠精神的领悟,专业技术的成果更是毫</w:t>
      </w:r>
      <w:r>
        <w:rPr>
          <w:color w:val="3366FF"/>
          <w:spacing w:val="-13"/>
        </w:rPr>
        <w:t>不吝啬的传承给了师弟师妹，在他创办的公司里先后培养了数百名化院学子成为了行业</w:t>
      </w:r>
      <w:r>
        <w:rPr>
          <w:color w:val="3366FF"/>
          <w:spacing w:val="-9"/>
        </w:rPr>
        <w:t>精英，湖南邦弗特新材料技术有限公司李新雄董事长、湖南松井新材料股份有限公司凌</w:t>
      </w:r>
      <w:r>
        <w:rPr>
          <w:color w:val="3366FF"/>
          <w:spacing w:val="-10"/>
        </w:rPr>
        <w:t>云剑董事长、湖南赢创未来新材料科技有限公司杨军董事长等等优秀校友都曾在谭昊涯</w:t>
      </w:r>
      <w:r>
        <w:rPr>
          <w:color w:val="3366FF"/>
          <w:spacing w:val="-13"/>
        </w:rPr>
        <w:t>创办的公司里工作学习。谭昊涯创办的企业，被行业内的化院学子戏称为涂料界的“黄</w:t>
      </w:r>
      <w:r>
        <w:rPr>
          <w:color w:val="3366FF"/>
          <w:spacing w:val="-21"/>
        </w:rPr>
        <w:t>埔军校”，而他本人就是“校长”。</w:t>
      </w:r>
    </w:p>
    <w:p>
      <w:pPr>
        <w:pStyle w:val="Heading2"/>
        <w:spacing w:before="74"/>
        <w:ind w:left="1898" w:firstLine="0"/>
      </w:pPr>
      <w:bookmarkStart w:name="【典型案例10】学院学子获得省黄炎培创业大赛一等奖" w:id="103"/>
      <w:bookmarkEnd w:id="103"/>
      <w:r>
        <w:rPr>
          <w:b w:val="0"/>
        </w:rPr>
      </w:r>
      <w:bookmarkStart w:name="_bookmark37" w:id="104"/>
      <w:bookmarkEnd w:id="104"/>
      <w:r>
        <w:rPr>
          <w:b w:val="0"/>
        </w:rPr>
      </w:r>
      <w:r>
        <w:rPr/>
        <w:t>【典型案例 10】学院学子获得省黄炎培创业大赛一等奖</w:t>
      </w:r>
    </w:p>
    <w:p>
      <w:pPr>
        <w:pStyle w:val="BodyText"/>
        <w:spacing w:before="7"/>
        <w:rPr>
          <w:rFonts w:ascii="黑体"/>
          <w:b/>
          <w:sz w:val="18"/>
        </w:rPr>
      </w:pPr>
    </w:p>
    <w:p>
      <w:pPr>
        <w:pStyle w:val="BodyText"/>
        <w:spacing w:line="364" w:lineRule="auto"/>
        <w:ind w:left="1418" w:right="1417" w:firstLine="480"/>
        <w:jc w:val="both"/>
      </w:pPr>
      <w:r>
        <w:rPr>
          <w:color w:val="3366FF"/>
          <w:spacing w:val="-6"/>
        </w:rPr>
        <w:t>在湖南省教育厅主办的 </w:t>
      </w:r>
      <w:r>
        <w:rPr>
          <w:color w:val="3366FF"/>
        </w:rPr>
        <w:t>2018</w:t>
      </w:r>
      <w:r>
        <w:rPr>
          <w:color w:val="3366FF"/>
          <w:spacing w:val="-8"/>
        </w:rPr>
        <w:t> 年“湖南黄炎培职业教育奖创业规划大赛”上，我校</w:t>
      </w:r>
      <w:r>
        <w:rPr>
          <w:color w:val="3366FF"/>
          <w:spacing w:val="-12"/>
        </w:rPr>
        <w:t>阳小宇和唐丽老师指导的《重金属离子检测盒》获主体赛一等奖，陈志雄和蒋俊凯老师指导的《金融风暴 </w:t>
      </w:r>
      <w:r>
        <w:rPr>
          <w:color w:val="3366FF"/>
        </w:rPr>
        <w:t>1</w:t>
      </w:r>
      <w:r>
        <w:rPr>
          <w:color w:val="3366FF"/>
          <w:spacing w:val="-11"/>
        </w:rPr>
        <w:t> 队》获模拟专项赛二等奖。其中</w:t>
      </w:r>
      <w:r>
        <w:rPr>
          <w:color w:val="3366FF"/>
          <w:spacing w:val="-17"/>
        </w:rPr>
        <w:t>，“重金属离子检测盒”只需短短 3</w:t>
      </w:r>
      <w:r>
        <w:rPr>
          <w:color w:val="3366FF"/>
          <w:spacing w:val="-8"/>
        </w:rPr>
        <w:t>分钟，借助这个检测盒便能精准识别瓜果蔬菜和饮用水里，是否存在镉、铅、汞等重金</w:t>
      </w:r>
    </w:p>
    <w:p>
      <w:pPr>
        <w:spacing w:after="0" w:line="364" w:lineRule="auto"/>
        <w:jc w:val="both"/>
        <w:sectPr>
          <w:pgSz w:w="11910" w:h="16840"/>
          <w:pgMar w:header="780" w:footer="1241" w:top="1260" w:bottom="1440" w:left="0" w:right="0"/>
        </w:sectPr>
      </w:pPr>
    </w:p>
    <w:p>
      <w:pPr>
        <w:pStyle w:val="BodyText"/>
        <w:spacing w:line="362" w:lineRule="auto" w:before="141"/>
        <w:ind w:left="1418" w:right="1417"/>
      </w:pPr>
      <w:r>
        <w:rPr/>
        <w:drawing>
          <wp:anchor distT="0" distB="0" distL="0" distR="0" allowOverlap="1" layoutInCell="1" locked="0" behindDoc="0" simplePos="0" relativeHeight="18">
            <wp:simplePos x="0" y="0"/>
            <wp:positionH relativeFrom="page">
              <wp:posOffset>1386839</wp:posOffset>
            </wp:positionH>
            <wp:positionV relativeFrom="paragraph">
              <wp:posOffset>744219</wp:posOffset>
            </wp:positionV>
            <wp:extent cx="4766964" cy="2847975"/>
            <wp:effectExtent l="0" t="0" r="0" b="0"/>
            <wp:wrapTopAndBottom/>
            <wp:docPr id="75" name="image42.jpeg"/>
            <wp:cNvGraphicFramePr>
              <a:graphicFrameLocks noChangeAspect="1"/>
            </wp:cNvGraphicFramePr>
            <a:graphic>
              <a:graphicData uri="http://schemas.openxmlformats.org/drawingml/2006/picture">
                <pic:pic>
                  <pic:nvPicPr>
                    <pic:cNvPr id="76" name="image42.jpeg"/>
                    <pic:cNvPicPr/>
                  </pic:nvPicPr>
                  <pic:blipFill>
                    <a:blip r:embed="rId53" cstate="print"/>
                    <a:stretch>
                      <a:fillRect/>
                    </a:stretch>
                  </pic:blipFill>
                  <pic:spPr>
                    <a:xfrm>
                      <a:off x="0" y="0"/>
                      <a:ext cx="4766964" cy="2847975"/>
                    </a:xfrm>
                    <a:prstGeom prst="rect">
                      <a:avLst/>
                    </a:prstGeom>
                  </pic:spPr>
                </pic:pic>
              </a:graphicData>
            </a:graphic>
          </wp:anchor>
        </w:drawing>
      </w:r>
      <w:r>
        <w:rPr>
          <w:color w:val="3366FF"/>
          <w:spacing w:val="-7"/>
        </w:rPr>
        <w:t>属。他们的产品不但已通过第三方检测机构认证，还与企业签订生产合作协议，同时拿</w:t>
      </w:r>
      <w:r>
        <w:rPr>
          <w:color w:val="3366FF"/>
          <w:spacing w:val="-30"/>
        </w:rPr>
        <w:t>下 </w:t>
      </w:r>
      <w:r>
        <w:rPr>
          <w:color w:val="3366FF"/>
        </w:rPr>
        <w:t>6</w:t>
      </w:r>
      <w:r>
        <w:rPr>
          <w:color w:val="3366FF"/>
          <w:spacing w:val="-9"/>
        </w:rPr>
        <w:t> 项专利认证。</w:t>
      </w:r>
    </w:p>
    <w:p>
      <w:pPr>
        <w:tabs>
          <w:tab w:pos="897" w:val="left" w:leader="none"/>
        </w:tabs>
        <w:spacing w:before="86"/>
        <w:ind w:left="0" w:right="23" w:firstLine="0"/>
        <w:jc w:val="center"/>
        <w:rPr>
          <w:b/>
          <w:sz w:val="21"/>
        </w:rPr>
      </w:pPr>
      <w:r>
        <w:rPr>
          <w:b/>
          <w:sz w:val="21"/>
        </w:rPr>
        <w:t>图</w:t>
      </w:r>
      <w:r>
        <w:rPr>
          <w:b/>
          <w:spacing w:val="-52"/>
          <w:sz w:val="21"/>
        </w:rPr>
        <w:t> </w:t>
      </w:r>
      <w:r>
        <w:rPr>
          <w:b/>
          <w:sz w:val="21"/>
        </w:rPr>
        <w:t>2-25</w:t>
        <w:tab/>
        <w:t>湖南化工职院获奖团队与指导老师合影</w:t>
      </w:r>
    </w:p>
    <w:p>
      <w:pPr>
        <w:pStyle w:val="Heading2"/>
        <w:spacing w:before="102"/>
        <w:ind w:left="1898" w:firstLine="0"/>
      </w:pPr>
      <w:bookmarkStart w:name="【典型案例11】我校创新创业孵化项目凝恬肌肤管理中心开业" w:id="105"/>
      <w:bookmarkEnd w:id="105"/>
      <w:r>
        <w:rPr>
          <w:b w:val="0"/>
        </w:rPr>
      </w:r>
      <w:bookmarkStart w:name="_bookmark38" w:id="106"/>
      <w:bookmarkEnd w:id="106"/>
      <w:r>
        <w:rPr>
          <w:b w:val="0"/>
        </w:rPr>
      </w:r>
      <w:r>
        <w:rPr/>
        <w:t>【典型案例 11】我校创新创业孵化项目凝恬肌肤管理中心开业</w:t>
      </w:r>
    </w:p>
    <w:p>
      <w:pPr>
        <w:pStyle w:val="BodyText"/>
        <w:spacing w:before="9"/>
        <w:rPr>
          <w:rFonts w:ascii="黑体"/>
          <w:b/>
          <w:sz w:val="18"/>
        </w:rPr>
      </w:pPr>
    </w:p>
    <w:p>
      <w:pPr>
        <w:pStyle w:val="BodyText"/>
        <w:spacing w:line="364" w:lineRule="auto" w:after="22"/>
        <w:ind w:left="1418" w:right="1365" w:firstLine="480"/>
        <w:jc w:val="both"/>
      </w:pPr>
      <w:r>
        <w:rPr>
          <w:color w:val="3366FF"/>
          <w:spacing w:val="-9"/>
        </w:rPr>
        <w:t>芳华凝时，恬然如诗。</w:t>
      </w:r>
      <w:r>
        <w:rPr>
          <w:color w:val="3366FF"/>
        </w:rPr>
        <w:t>9</w:t>
      </w:r>
      <w:r>
        <w:rPr>
          <w:color w:val="3366FF"/>
          <w:spacing w:val="-40"/>
        </w:rPr>
        <w:t> 月 </w:t>
      </w:r>
      <w:r>
        <w:rPr>
          <w:color w:val="3366FF"/>
        </w:rPr>
        <w:t>10</w:t>
      </w:r>
      <w:r>
        <w:rPr>
          <w:color w:val="3366FF"/>
          <w:spacing w:val="-11"/>
        </w:rPr>
        <w:t> 日，凝恬肌肤管理中心正式入驻湖南化工职业技术学</w:t>
      </w:r>
      <w:r>
        <w:rPr>
          <w:color w:val="3366FF"/>
          <w:spacing w:val="-14"/>
        </w:rPr>
        <w:t>院大学生创新创业基地并开业。凝恬肌肤管理中心是由湖南化工职业技术学院化妆品技</w:t>
      </w:r>
      <w:r>
        <w:rPr>
          <w:color w:val="3366FF"/>
          <w:spacing w:val="-16"/>
        </w:rPr>
        <w:t>术专业创新创业师生团基于现代科技理念队打造的以学生为主导、教师为指导的的肌肤管理中心，其依托我校化妆品技术专业背景、大学生创新创业平台及行校企合作资源， </w:t>
      </w:r>
      <w:r>
        <w:rPr>
          <w:color w:val="3366FF"/>
          <w:spacing w:val="-6"/>
        </w:rPr>
        <w:t>致力于为校内外广大“爱美”人士培养科学护肤、健康保养的理念，也为化妆品专业学生在学习专业知识的同时提供创新创业实践探索的平台。</w:t>
      </w:r>
    </w:p>
    <w:p>
      <w:pPr>
        <w:pStyle w:val="BodyText"/>
        <w:ind w:left="2376"/>
        <w:rPr>
          <w:sz w:val="20"/>
        </w:rPr>
      </w:pPr>
      <w:r>
        <w:rPr>
          <w:sz w:val="20"/>
        </w:rPr>
        <w:drawing>
          <wp:inline distT="0" distB="0" distL="0" distR="0">
            <wp:extent cx="4519845" cy="2542698"/>
            <wp:effectExtent l="0" t="0" r="0" b="0"/>
            <wp:docPr id="77" name="image43.jpeg"/>
            <wp:cNvGraphicFramePr>
              <a:graphicFrameLocks noChangeAspect="1"/>
            </wp:cNvGraphicFramePr>
            <a:graphic>
              <a:graphicData uri="http://schemas.openxmlformats.org/drawingml/2006/picture">
                <pic:pic>
                  <pic:nvPicPr>
                    <pic:cNvPr id="78" name="image43.jpeg"/>
                    <pic:cNvPicPr/>
                  </pic:nvPicPr>
                  <pic:blipFill>
                    <a:blip r:embed="rId54" cstate="print"/>
                    <a:stretch>
                      <a:fillRect/>
                    </a:stretch>
                  </pic:blipFill>
                  <pic:spPr>
                    <a:xfrm>
                      <a:off x="0" y="0"/>
                      <a:ext cx="4519845" cy="2542698"/>
                    </a:xfrm>
                    <a:prstGeom prst="rect">
                      <a:avLst/>
                    </a:prstGeom>
                  </pic:spPr>
                </pic:pic>
              </a:graphicData>
            </a:graphic>
          </wp:inline>
        </w:drawing>
      </w:r>
      <w:r>
        <w:rPr>
          <w:sz w:val="20"/>
        </w:rPr>
      </w:r>
    </w:p>
    <w:p>
      <w:pPr>
        <w:tabs>
          <w:tab w:pos="897" w:val="left" w:leader="none"/>
        </w:tabs>
        <w:spacing w:before="43"/>
        <w:ind w:left="0" w:right="26" w:firstLine="0"/>
        <w:jc w:val="center"/>
        <w:rPr>
          <w:b/>
          <w:sz w:val="21"/>
        </w:rPr>
      </w:pPr>
      <w:r>
        <w:rPr>
          <w:b/>
          <w:sz w:val="21"/>
        </w:rPr>
        <w:t>图</w:t>
      </w:r>
      <w:r>
        <w:rPr>
          <w:b/>
          <w:spacing w:val="-52"/>
          <w:sz w:val="21"/>
        </w:rPr>
        <w:t> </w:t>
      </w:r>
      <w:r>
        <w:rPr>
          <w:b/>
          <w:sz w:val="21"/>
        </w:rPr>
        <w:t>2-26</w:t>
        <w:tab/>
        <w:t>凝恬肌肤管理中心开业现场</w:t>
      </w:r>
    </w:p>
    <w:p>
      <w:pPr>
        <w:spacing w:after="0"/>
        <w:jc w:val="center"/>
        <w:rPr>
          <w:sz w:val="21"/>
        </w:rPr>
        <w:sectPr>
          <w:pgSz w:w="11910" w:h="16840"/>
          <w:pgMar w:header="780" w:footer="1241" w:top="1260" w:bottom="1440" w:left="0" w:right="0"/>
        </w:sectPr>
      </w:pPr>
    </w:p>
    <w:p>
      <w:pPr>
        <w:pStyle w:val="Heading2"/>
        <w:tabs>
          <w:tab w:pos="2471" w:val="left" w:leader="none"/>
        </w:tabs>
        <w:spacing w:before="141"/>
        <w:ind w:left="1898" w:firstLine="0"/>
      </w:pPr>
      <w:bookmarkStart w:name="2.6  计分卡" w:id="107"/>
      <w:bookmarkEnd w:id="107"/>
      <w:r>
        <w:rPr>
          <w:b w:val="0"/>
        </w:rPr>
      </w:r>
      <w:bookmarkStart w:name="_bookmark39" w:id="108"/>
      <w:bookmarkEnd w:id="108"/>
      <w:r>
        <w:rPr>
          <w:b w:val="0"/>
        </w:rPr>
      </w:r>
      <w:r>
        <w:rPr>
          <w:rFonts w:ascii="Arial" w:eastAsia="Arial"/>
        </w:rPr>
        <w:t>2.6</w:t>
        <w:tab/>
      </w:r>
      <w:r>
        <w:rPr/>
        <w:t>计分卡</w:t>
      </w:r>
    </w:p>
    <w:p>
      <w:pPr>
        <w:pStyle w:val="BodyText"/>
        <w:spacing w:before="8"/>
        <w:rPr>
          <w:rFonts w:ascii="黑体"/>
          <w:b/>
          <w:sz w:val="30"/>
        </w:rPr>
      </w:pPr>
    </w:p>
    <w:p>
      <w:pPr>
        <w:pStyle w:val="BodyText"/>
        <w:spacing w:line="364" w:lineRule="auto" w:before="1"/>
        <w:ind w:left="1418" w:right="1365" w:firstLine="480"/>
      </w:pPr>
      <w:r>
        <w:rPr/>
        <w:t>记分卡中，毕业生就业起薪点、专业相关度均有明显提升，学生对母校的满意度、同人单位对毕业生的满意度也有相应增长，毕业生在工作单位的成长空间大、职业发展通道顺畅，说明学院毕业生就业竞争力不断提升。</w:t>
      </w:r>
    </w:p>
    <w:p>
      <w:pPr>
        <w:tabs>
          <w:tab w:pos="6014" w:val="left" w:leader="none"/>
        </w:tabs>
        <w:spacing w:before="19"/>
        <w:ind w:left="5224" w:right="0" w:firstLine="0"/>
        <w:jc w:val="left"/>
        <w:rPr>
          <w:b/>
          <w:sz w:val="21"/>
        </w:rPr>
      </w:pPr>
      <w:r>
        <w:rPr>
          <w:b/>
          <w:sz w:val="21"/>
        </w:rPr>
        <w:t>表</w:t>
      </w:r>
      <w:r>
        <w:rPr>
          <w:b/>
          <w:spacing w:val="-55"/>
          <w:sz w:val="21"/>
        </w:rPr>
        <w:t> </w:t>
      </w:r>
      <w:r>
        <w:rPr>
          <w:b/>
          <w:sz w:val="21"/>
        </w:rPr>
        <w:t>2-1</w:t>
        <w:tab/>
        <w:t>计分卡</w:t>
      </w:r>
    </w:p>
    <w:p>
      <w:pPr>
        <w:pStyle w:val="BodyText"/>
        <w:spacing w:before="12"/>
        <w:rPr>
          <w:b/>
          <w:sz w:val="7"/>
        </w:rPr>
      </w:pPr>
    </w:p>
    <w:tbl>
      <w:tblPr>
        <w:tblW w:w="0" w:type="auto"/>
        <w:jc w:val="left"/>
        <w:tblInd w:w="1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0"/>
        <w:gridCol w:w="1052"/>
        <w:gridCol w:w="811"/>
        <w:gridCol w:w="2701"/>
        <w:gridCol w:w="881"/>
        <w:gridCol w:w="1040"/>
        <w:gridCol w:w="1119"/>
      </w:tblGrid>
      <w:tr>
        <w:trPr>
          <w:trHeight w:val="624" w:hRule="atLeast"/>
        </w:trPr>
        <w:tc>
          <w:tcPr>
            <w:tcW w:w="810" w:type="dxa"/>
            <w:tcBorders>
              <w:bottom w:val="single" w:sz="8" w:space="0" w:color="000000"/>
              <w:right w:val="single" w:sz="8" w:space="0" w:color="000000"/>
            </w:tcBorders>
          </w:tcPr>
          <w:p>
            <w:pPr>
              <w:pStyle w:val="TableParagraph"/>
              <w:spacing w:before="19"/>
              <w:ind w:left="195"/>
              <w:rPr>
                <w:sz w:val="21"/>
              </w:rPr>
            </w:pPr>
            <w:r>
              <w:rPr>
                <w:spacing w:val="-1"/>
                <w:w w:val="95"/>
                <w:sz w:val="21"/>
              </w:rPr>
              <w:t>院校</w:t>
            </w:r>
          </w:p>
          <w:p>
            <w:pPr>
              <w:pStyle w:val="TableParagraph"/>
              <w:spacing w:before="43"/>
              <w:ind w:left="195"/>
              <w:rPr>
                <w:sz w:val="21"/>
              </w:rPr>
            </w:pPr>
            <w:r>
              <w:rPr>
                <w:spacing w:val="-1"/>
                <w:w w:val="95"/>
                <w:sz w:val="21"/>
              </w:rPr>
              <w:t>代码</w:t>
            </w:r>
          </w:p>
        </w:tc>
        <w:tc>
          <w:tcPr>
            <w:tcW w:w="1052" w:type="dxa"/>
            <w:tcBorders>
              <w:left w:val="single" w:sz="8" w:space="0" w:color="000000"/>
              <w:bottom w:val="single" w:sz="8" w:space="0" w:color="000000"/>
              <w:right w:val="single" w:sz="8" w:space="0" w:color="000000"/>
            </w:tcBorders>
          </w:tcPr>
          <w:p>
            <w:pPr>
              <w:pStyle w:val="TableParagraph"/>
              <w:spacing w:before="19"/>
              <w:ind w:left="321"/>
              <w:rPr>
                <w:sz w:val="21"/>
              </w:rPr>
            </w:pPr>
            <w:r>
              <w:rPr>
                <w:spacing w:val="-1"/>
                <w:w w:val="95"/>
                <w:sz w:val="21"/>
              </w:rPr>
              <w:t>院校</w:t>
            </w:r>
          </w:p>
          <w:p>
            <w:pPr>
              <w:pStyle w:val="TableParagraph"/>
              <w:spacing w:before="43"/>
              <w:ind w:left="321"/>
              <w:rPr>
                <w:sz w:val="21"/>
              </w:rPr>
            </w:pPr>
            <w:r>
              <w:rPr>
                <w:spacing w:val="-1"/>
                <w:w w:val="95"/>
                <w:sz w:val="21"/>
              </w:rPr>
              <w:t>名称</w:t>
            </w:r>
          </w:p>
        </w:tc>
        <w:tc>
          <w:tcPr>
            <w:tcW w:w="3512" w:type="dxa"/>
            <w:gridSpan w:val="2"/>
            <w:tcBorders>
              <w:left w:val="single" w:sz="8" w:space="0" w:color="000000"/>
              <w:bottom w:val="single" w:sz="8" w:space="0" w:color="000000"/>
              <w:right w:val="single" w:sz="8" w:space="0" w:color="000000"/>
            </w:tcBorders>
          </w:tcPr>
          <w:p>
            <w:pPr>
              <w:pStyle w:val="TableParagraph"/>
              <w:tabs>
                <w:tab w:pos="448" w:val="left" w:leader="none"/>
              </w:tabs>
              <w:spacing w:before="175"/>
              <w:ind w:left="29"/>
              <w:jc w:val="center"/>
              <w:rPr>
                <w:sz w:val="21"/>
              </w:rPr>
            </w:pPr>
            <w:r>
              <w:rPr>
                <w:sz w:val="21"/>
              </w:rPr>
              <w:t>指</w:t>
              <w:tab/>
              <w:t>标</w:t>
            </w:r>
          </w:p>
        </w:tc>
        <w:tc>
          <w:tcPr>
            <w:tcW w:w="881" w:type="dxa"/>
            <w:tcBorders>
              <w:left w:val="single" w:sz="8" w:space="0" w:color="000000"/>
              <w:bottom w:val="single" w:sz="8" w:space="0" w:color="000000"/>
              <w:right w:val="single" w:sz="8" w:space="0" w:color="000000"/>
            </w:tcBorders>
          </w:tcPr>
          <w:p>
            <w:pPr>
              <w:pStyle w:val="TableParagraph"/>
              <w:spacing w:before="175"/>
              <w:ind w:left="212" w:right="189"/>
              <w:jc w:val="center"/>
              <w:rPr>
                <w:sz w:val="21"/>
              </w:rPr>
            </w:pPr>
            <w:r>
              <w:rPr>
                <w:sz w:val="21"/>
              </w:rPr>
              <w:t>单位</w:t>
            </w:r>
          </w:p>
        </w:tc>
        <w:tc>
          <w:tcPr>
            <w:tcW w:w="1040" w:type="dxa"/>
            <w:tcBorders>
              <w:left w:val="single" w:sz="8" w:space="0" w:color="000000"/>
              <w:bottom w:val="single" w:sz="8" w:space="0" w:color="000000"/>
              <w:right w:val="single" w:sz="8" w:space="0" w:color="000000"/>
            </w:tcBorders>
          </w:tcPr>
          <w:p>
            <w:pPr>
              <w:pStyle w:val="TableParagraph"/>
              <w:spacing w:before="175"/>
              <w:ind w:left="161" w:right="135"/>
              <w:jc w:val="center"/>
              <w:rPr>
                <w:sz w:val="21"/>
              </w:rPr>
            </w:pPr>
            <w:r>
              <w:rPr>
                <w:rFonts w:ascii="Times New Roman" w:eastAsia="Times New Roman"/>
                <w:sz w:val="21"/>
              </w:rPr>
              <w:t>2017 </w:t>
            </w:r>
            <w:r>
              <w:rPr>
                <w:sz w:val="21"/>
              </w:rPr>
              <w:t>年</w:t>
            </w:r>
          </w:p>
        </w:tc>
        <w:tc>
          <w:tcPr>
            <w:tcW w:w="1119" w:type="dxa"/>
            <w:tcBorders>
              <w:left w:val="single" w:sz="8" w:space="0" w:color="000000"/>
              <w:bottom w:val="single" w:sz="8" w:space="0" w:color="000000"/>
            </w:tcBorders>
          </w:tcPr>
          <w:p>
            <w:pPr>
              <w:pStyle w:val="TableParagraph"/>
              <w:spacing w:before="175"/>
              <w:ind w:left="201" w:right="169"/>
              <w:jc w:val="center"/>
              <w:rPr>
                <w:sz w:val="21"/>
              </w:rPr>
            </w:pPr>
            <w:r>
              <w:rPr>
                <w:rFonts w:ascii="Times New Roman" w:eastAsia="Times New Roman"/>
                <w:sz w:val="21"/>
              </w:rPr>
              <w:t>2018 </w:t>
            </w:r>
            <w:r>
              <w:rPr>
                <w:sz w:val="21"/>
              </w:rPr>
              <w:t>年</w:t>
            </w:r>
          </w:p>
        </w:tc>
      </w:tr>
      <w:tr>
        <w:trPr>
          <w:trHeight w:val="465" w:hRule="atLeast"/>
        </w:trPr>
        <w:tc>
          <w:tcPr>
            <w:tcW w:w="810" w:type="dxa"/>
            <w:vMerge w:val="restart"/>
            <w:tcBorders>
              <w:top w:val="single" w:sz="8" w:space="0" w:color="000000"/>
              <w:right w:val="single" w:sz="8"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3"/>
              <w:ind w:left="106"/>
              <w:rPr>
                <w:rFonts w:ascii="Times New Roman"/>
                <w:sz w:val="21"/>
              </w:rPr>
            </w:pPr>
            <w:r>
              <w:rPr>
                <w:rFonts w:ascii="Times New Roman"/>
                <w:sz w:val="21"/>
              </w:rPr>
              <w:t>13043</w:t>
            </w:r>
          </w:p>
        </w:tc>
        <w:tc>
          <w:tcPr>
            <w:tcW w:w="1052" w:type="dxa"/>
            <w:vMerge w:val="restart"/>
            <w:tcBorders>
              <w:top w:val="single" w:sz="8" w:space="0" w:color="000000"/>
              <w:left w:val="single" w:sz="8" w:space="0" w:color="000000"/>
              <w:right w:val="sing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
              <w:rPr>
                <w:b/>
                <w:sz w:val="25"/>
              </w:rPr>
            </w:pPr>
          </w:p>
          <w:p>
            <w:pPr>
              <w:pStyle w:val="TableParagraph"/>
              <w:spacing w:line="278" w:lineRule="auto"/>
              <w:ind w:left="112" w:right="82"/>
              <w:jc w:val="both"/>
              <w:rPr>
                <w:sz w:val="21"/>
              </w:rPr>
            </w:pPr>
            <w:r>
              <w:rPr>
                <w:spacing w:val="-5"/>
                <w:sz w:val="21"/>
              </w:rPr>
              <w:t>湖 南 化工 职 业技 术 学</w:t>
            </w:r>
            <w:r>
              <w:rPr>
                <w:sz w:val="21"/>
              </w:rPr>
              <w:t>院</w:t>
            </w:r>
          </w:p>
        </w:tc>
        <w:tc>
          <w:tcPr>
            <w:tcW w:w="811" w:type="dxa"/>
            <w:tcBorders>
              <w:top w:val="single" w:sz="8" w:space="0" w:color="000000"/>
              <w:left w:val="single" w:sz="8" w:space="0" w:color="000000"/>
              <w:bottom w:val="single" w:sz="8" w:space="0" w:color="000000"/>
              <w:right w:val="single" w:sz="8" w:space="0" w:color="000000"/>
            </w:tcBorders>
          </w:tcPr>
          <w:p>
            <w:pPr>
              <w:pStyle w:val="TableParagraph"/>
              <w:spacing w:before="114"/>
              <w:ind w:right="328"/>
              <w:jc w:val="right"/>
              <w:rPr>
                <w:rFonts w:ascii="Times New Roman"/>
                <w:sz w:val="21"/>
              </w:rPr>
            </w:pPr>
            <w:r>
              <w:rPr>
                <w:rFonts w:ascii="Times New Roman"/>
                <w:w w:val="99"/>
                <w:sz w:val="21"/>
              </w:rPr>
              <w:t>1</w:t>
            </w:r>
          </w:p>
        </w:tc>
        <w:tc>
          <w:tcPr>
            <w:tcW w:w="2701" w:type="dxa"/>
            <w:tcBorders>
              <w:top w:val="single" w:sz="8" w:space="0" w:color="000000"/>
              <w:left w:val="single" w:sz="8" w:space="0" w:color="000000"/>
              <w:bottom w:val="single" w:sz="8" w:space="0" w:color="000000"/>
              <w:right w:val="single" w:sz="8" w:space="0" w:color="000000"/>
            </w:tcBorders>
          </w:tcPr>
          <w:p>
            <w:pPr>
              <w:pStyle w:val="TableParagraph"/>
              <w:spacing w:before="100"/>
              <w:ind w:left="111"/>
              <w:rPr>
                <w:sz w:val="21"/>
              </w:rPr>
            </w:pPr>
            <w:r>
              <w:rPr>
                <w:sz w:val="21"/>
              </w:rPr>
              <w:t>就业率</w:t>
            </w:r>
          </w:p>
        </w:tc>
        <w:tc>
          <w:tcPr>
            <w:tcW w:w="881" w:type="dxa"/>
            <w:tcBorders>
              <w:top w:val="single" w:sz="8" w:space="0" w:color="000000"/>
              <w:left w:val="single" w:sz="8" w:space="0" w:color="000000"/>
              <w:bottom w:val="single" w:sz="8" w:space="0" w:color="000000"/>
              <w:right w:val="single" w:sz="8" w:space="0" w:color="000000"/>
            </w:tcBorders>
          </w:tcPr>
          <w:p>
            <w:pPr>
              <w:pStyle w:val="TableParagraph"/>
              <w:spacing w:before="114"/>
              <w:ind w:left="29"/>
              <w:jc w:val="center"/>
              <w:rPr>
                <w:rFonts w:ascii="Times New Roman"/>
                <w:sz w:val="21"/>
              </w:rPr>
            </w:pPr>
            <w:r>
              <w:rPr>
                <w:rFonts w:ascii="Times New Roman"/>
                <w:w w:val="99"/>
                <w:sz w:val="21"/>
              </w:rPr>
              <w:t>%</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114"/>
              <w:ind w:left="161" w:right="131"/>
              <w:jc w:val="center"/>
              <w:rPr>
                <w:rFonts w:ascii="Times New Roman"/>
                <w:sz w:val="21"/>
              </w:rPr>
            </w:pPr>
            <w:r>
              <w:rPr>
                <w:rFonts w:ascii="Times New Roman"/>
                <w:sz w:val="21"/>
              </w:rPr>
              <w:t>97.86</w:t>
            </w:r>
          </w:p>
        </w:tc>
        <w:tc>
          <w:tcPr>
            <w:tcW w:w="1119" w:type="dxa"/>
            <w:tcBorders>
              <w:top w:val="single" w:sz="8" w:space="0" w:color="000000"/>
              <w:left w:val="single" w:sz="8" w:space="0" w:color="000000"/>
              <w:bottom w:val="single" w:sz="8" w:space="0" w:color="000000"/>
            </w:tcBorders>
          </w:tcPr>
          <w:p>
            <w:pPr>
              <w:pStyle w:val="TableParagraph"/>
              <w:spacing w:before="114"/>
              <w:ind w:left="201" w:right="167"/>
              <w:jc w:val="center"/>
              <w:rPr>
                <w:rFonts w:ascii="Times New Roman"/>
                <w:sz w:val="21"/>
              </w:rPr>
            </w:pPr>
            <w:r>
              <w:rPr>
                <w:rFonts w:ascii="Times New Roman"/>
                <w:sz w:val="21"/>
              </w:rPr>
              <w:t>95.12</w:t>
            </w:r>
          </w:p>
        </w:tc>
      </w:tr>
      <w:tr>
        <w:trPr>
          <w:trHeight w:val="460" w:hRule="atLeast"/>
        </w:trPr>
        <w:tc>
          <w:tcPr>
            <w:tcW w:w="810" w:type="dxa"/>
            <w:vMerge/>
            <w:tcBorders>
              <w:top w:val="nil"/>
              <w:right w:val="single" w:sz="8" w:space="0" w:color="000000"/>
            </w:tcBorders>
          </w:tcPr>
          <w:p>
            <w:pPr>
              <w:rPr>
                <w:sz w:val="2"/>
                <w:szCs w:val="2"/>
              </w:rPr>
            </w:pPr>
          </w:p>
        </w:tc>
        <w:tc>
          <w:tcPr>
            <w:tcW w:w="1052" w:type="dxa"/>
            <w:vMerge/>
            <w:tcBorders>
              <w:top w:val="nil"/>
              <w:left w:val="single" w:sz="8" w:space="0" w:color="000000"/>
              <w:right w:val="single" w:sz="8" w:space="0" w:color="000000"/>
            </w:tcBorders>
          </w:tcPr>
          <w:p>
            <w:pPr>
              <w:rPr>
                <w:sz w:val="2"/>
                <w:szCs w:val="2"/>
              </w:rPr>
            </w:pPr>
          </w:p>
        </w:tc>
        <w:tc>
          <w:tcPr>
            <w:tcW w:w="811" w:type="dxa"/>
            <w:tcBorders>
              <w:top w:val="single" w:sz="8" w:space="0" w:color="000000"/>
              <w:left w:val="single" w:sz="8" w:space="0" w:color="000000"/>
              <w:bottom w:val="single" w:sz="8" w:space="0" w:color="000000"/>
              <w:right w:val="single" w:sz="8" w:space="0" w:color="000000"/>
            </w:tcBorders>
          </w:tcPr>
          <w:p>
            <w:pPr>
              <w:pStyle w:val="TableParagraph"/>
              <w:spacing w:before="109"/>
              <w:ind w:right="328"/>
              <w:jc w:val="right"/>
              <w:rPr>
                <w:rFonts w:ascii="Times New Roman"/>
                <w:sz w:val="21"/>
              </w:rPr>
            </w:pPr>
            <w:r>
              <w:rPr>
                <w:rFonts w:ascii="Times New Roman"/>
                <w:w w:val="99"/>
                <w:sz w:val="21"/>
              </w:rPr>
              <w:t>2</w:t>
            </w:r>
          </w:p>
        </w:tc>
        <w:tc>
          <w:tcPr>
            <w:tcW w:w="2701" w:type="dxa"/>
            <w:tcBorders>
              <w:top w:val="single" w:sz="8" w:space="0" w:color="000000"/>
              <w:left w:val="single" w:sz="8" w:space="0" w:color="000000"/>
              <w:bottom w:val="single" w:sz="8" w:space="0" w:color="000000"/>
              <w:right w:val="single" w:sz="8" w:space="0" w:color="000000"/>
            </w:tcBorders>
          </w:tcPr>
          <w:p>
            <w:pPr>
              <w:pStyle w:val="TableParagraph"/>
              <w:spacing w:before="95"/>
              <w:ind w:left="111"/>
              <w:rPr>
                <w:sz w:val="21"/>
              </w:rPr>
            </w:pPr>
            <w:r>
              <w:rPr>
                <w:sz w:val="21"/>
              </w:rPr>
              <w:t>月收入</w:t>
            </w:r>
          </w:p>
        </w:tc>
        <w:tc>
          <w:tcPr>
            <w:tcW w:w="881" w:type="dxa"/>
            <w:tcBorders>
              <w:top w:val="single" w:sz="8" w:space="0" w:color="000000"/>
              <w:left w:val="single" w:sz="8" w:space="0" w:color="000000"/>
              <w:bottom w:val="single" w:sz="8" w:space="0" w:color="000000"/>
              <w:right w:val="single" w:sz="8" w:space="0" w:color="000000"/>
            </w:tcBorders>
          </w:tcPr>
          <w:p>
            <w:pPr>
              <w:pStyle w:val="TableParagraph"/>
              <w:spacing w:before="95"/>
              <w:ind w:left="25"/>
              <w:jc w:val="center"/>
              <w:rPr>
                <w:sz w:val="21"/>
              </w:rPr>
            </w:pPr>
            <w:r>
              <w:rPr>
                <w:w w:val="99"/>
                <w:sz w:val="21"/>
              </w:rPr>
              <w:t>元</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109"/>
              <w:ind w:left="161" w:right="131"/>
              <w:jc w:val="center"/>
              <w:rPr>
                <w:rFonts w:ascii="Times New Roman"/>
                <w:sz w:val="21"/>
              </w:rPr>
            </w:pPr>
            <w:r>
              <w:rPr>
                <w:rFonts w:ascii="Times New Roman"/>
                <w:sz w:val="21"/>
              </w:rPr>
              <w:t>3979</w:t>
            </w:r>
          </w:p>
        </w:tc>
        <w:tc>
          <w:tcPr>
            <w:tcW w:w="1119" w:type="dxa"/>
            <w:tcBorders>
              <w:top w:val="single" w:sz="8" w:space="0" w:color="000000"/>
              <w:left w:val="single" w:sz="8" w:space="0" w:color="000000"/>
              <w:bottom w:val="single" w:sz="8" w:space="0" w:color="000000"/>
            </w:tcBorders>
          </w:tcPr>
          <w:p>
            <w:pPr>
              <w:pStyle w:val="TableParagraph"/>
              <w:spacing w:before="109"/>
              <w:ind w:left="200" w:right="169"/>
              <w:jc w:val="center"/>
              <w:rPr>
                <w:rFonts w:ascii="Times New Roman"/>
                <w:sz w:val="21"/>
              </w:rPr>
            </w:pPr>
            <w:r>
              <w:rPr>
                <w:rFonts w:ascii="Times New Roman"/>
                <w:sz w:val="21"/>
              </w:rPr>
              <w:t>4336</w:t>
            </w:r>
          </w:p>
        </w:tc>
      </w:tr>
      <w:tr>
        <w:trPr>
          <w:trHeight w:val="460" w:hRule="atLeast"/>
        </w:trPr>
        <w:tc>
          <w:tcPr>
            <w:tcW w:w="810" w:type="dxa"/>
            <w:vMerge/>
            <w:tcBorders>
              <w:top w:val="nil"/>
              <w:right w:val="single" w:sz="8" w:space="0" w:color="000000"/>
            </w:tcBorders>
          </w:tcPr>
          <w:p>
            <w:pPr>
              <w:rPr>
                <w:sz w:val="2"/>
                <w:szCs w:val="2"/>
              </w:rPr>
            </w:pPr>
          </w:p>
        </w:tc>
        <w:tc>
          <w:tcPr>
            <w:tcW w:w="1052" w:type="dxa"/>
            <w:vMerge/>
            <w:tcBorders>
              <w:top w:val="nil"/>
              <w:left w:val="single" w:sz="8" w:space="0" w:color="000000"/>
              <w:right w:val="single" w:sz="8" w:space="0" w:color="000000"/>
            </w:tcBorders>
          </w:tcPr>
          <w:p>
            <w:pPr>
              <w:rPr>
                <w:sz w:val="2"/>
                <w:szCs w:val="2"/>
              </w:rPr>
            </w:pPr>
          </w:p>
        </w:tc>
        <w:tc>
          <w:tcPr>
            <w:tcW w:w="811" w:type="dxa"/>
            <w:tcBorders>
              <w:top w:val="single" w:sz="8" w:space="0" w:color="000000"/>
              <w:left w:val="single" w:sz="8" w:space="0" w:color="000000"/>
              <w:bottom w:val="single" w:sz="8" w:space="0" w:color="000000"/>
              <w:right w:val="single" w:sz="8" w:space="0" w:color="000000"/>
            </w:tcBorders>
          </w:tcPr>
          <w:p>
            <w:pPr>
              <w:pStyle w:val="TableParagraph"/>
              <w:spacing w:before="108"/>
              <w:ind w:right="328"/>
              <w:jc w:val="right"/>
              <w:rPr>
                <w:rFonts w:ascii="Times New Roman"/>
                <w:sz w:val="21"/>
              </w:rPr>
            </w:pPr>
            <w:r>
              <w:rPr>
                <w:rFonts w:ascii="Times New Roman"/>
                <w:w w:val="99"/>
                <w:sz w:val="21"/>
              </w:rPr>
              <w:t>3</w:t>
            </w:r>
          </w:p>
        </w:tc>
        <w:tc>
          <w:tcPr>
            <w:tcW w:w="2701" w:type="dxa"/>
            <w:tcBorders>
              <w:top w:val="single" w:sz="8" w:space="0" w:color="000000"/>
              <w:left w:val="single" w:sz="8" w:space="0" w:color="000000"/>
              <w:bottom w:val="single" w:sz="8" w:space="0" w:color="000000"/>
              <w:right w:val="single" w:sz="8" w:space="0" w:color="000000"/>
            </w:tcBorders>
          </w:tcPr>
          <w:p>
            <w:pPr>
              <w:pStyle w:val="TableParagraph"/>
              <w:spacing w:before="94"/>
              <w:ind w:left="111"/>
              <w:rPr>
                <w:sz w:val="21"/>
              </w:rPr>
            </w:pPr>
            <w:r>
              <w:rPr>
                <w:sz w:val="21"/>
              </w:rPr>
              <w:t>理工农医类专业相关度</w:t>
            </w:r>
          </w:p>
        </w:tc>
        <w:tc>
          <w:tcPr>
            <w:tcW w:w="881" w:type="dxa"/>
            <w:tcBorders>
              <w:top w:val="single" w:sz="8" w:space="0" w:color="000000"/>
              <w:left w:val="single" w:sz="8" w:space="0" w:color="000000"/>
              <w:bottom w:val="single" w:sz="8" w:space="0" w:color="000000"/>
              <w:right w:val="single" w:sz="8" w:space="0" w:color="000000"/>
            </w:tcBorders>
          </w:tcPr>
          <w:p>
            <w:pPr>
              <w:pStyle w:val="TableParagraph"/>
              <w:spacing w:before="108"/>
              <w:ind w:left="29"/>
              <w:jc w:val="center"/>
              <w:rPr>
                <w:rFonts w:ascii="Times New Roman"/>
                <w:sz w:val="21"/>
              </w:rPr>
            </w:pPr>
            <w:r>
              <w:rPr>
                <w:rFonts w:ascii="Times New Roman"/>
                <w:w w:val="99"/>
                <w:sz w:val="21"/>
              </w:rPr>
              <w:t>%</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108"/>
              <w:ind w:left="161" w:right="131"/>
              <w:jc w:val="center"/>
              <w:rPr>
                <w:rFonts w:ascii="Times New Roman"/>
                <w:sz w:val="21"/>
              </w:rPr>
            </w:pPr>
            <w:r>
              <w:rPr>
                <w:rFonts w:ascii="Times New Roman"/>
                <w:sz w:val="21"/>
              </w:rPr>
              <w:t>93.74</w:t>
            </w:r>
          </w:p>
        </w:tc>
        <w:tc>
          <w:tcPr>
            <w:tcW w:w="1119" w:type="dxa"/>
            <w:tcBorders>
              <w:top w:val="single" w:sz="8" w:space="0" w:color="000000"/>
              <w:left w:val="single" w:sz="8" w:space="0" w:color="000000"/>
              <w:bottom w:val="single" w:sz="8" w:space="0" w:color="000000"/>
            </w:tcBorders>
          </w:tcPr>
          <w:p>
            <w:pPr>
              <w:pStyle w:val="TableParagraph"/>
              <w:spacing w:before="108"/>
              <w:ind w:left="201" w:right="167"/>
              <w:jc w:val="center"/>
              <w:rPr>
                <w:rFonts w:ascii="Times New Roman"/>
                <w:sz w:val="21"/>
              </w:rPr>
            </w:pPr>
            <w:r>
              <w:rPr>
                <w:rFonts w:ascii="Times New Roman"/>
                <w:sz w:val="21"/>
              </w:rPr>
              <w:t>93.25</w:t>
            </w:r>
          </w:p>
        </w:tc>
      </w:tr>
      <w:tr>
        <w:trPr>
          <w:trHeight w:val="460" w:hRule="atLeast"/>
        </w:trPr>
        <w:tc>
          <w:tcPr>
            <w:tcW w:w="810" w:type="dxa"/>
            <w:vMerge/>
            <w:tcBorders>
              <w:top w:val="nil"/>
              <w:right w:val="single" w:sz="8" w:space="0" w:color="000000"/>
            </w:tcBorders>
          </w:tcPr>
          <w:p>
            <w:pPr>
              <w:rPr>
                <w:sz w:val="2"/>
                <w:szCs w:val="2"/>
              </w:rPr>
            </w:pPr>
          </w:p>
        </w:tc>
        <w:tc>
          <w:tcPr>
            <w:tcW w:w="1052" w:type="dxa"/>
            <w:vMerge/>
            <w:tcBorders>
              <w:top w:val="nil"/>
              <w:left w:val="single" w:sz="8" w:space="0" w:color="000000"/>
              <w:right w:val="single" w:sz="8" w:space="0" w:color="000000"/>
            </w:tcBorders>
          </w:tcPr>
          <w:p>
            <w:pPr>
              <w:rPr>
                <w:sz w:val="2"/>
                <w:szCs w:val="2"/>
              </w:rPr>
            </w:pPr>
          </w:p>
        </w:tc>
        <w:tc>
          <w:tcPr>
            <w:tcW w:w="811" w:type="dxa"/>
            <w:tcBorders>
              <w:top w:val="single" w:sz="8" w:space="0" w:color="000000"/>
              <w:left w:val="single" w:sz="8" w:space="0" w:color="000000"/>
              <w:bottom w:val="single" w:sz="8" w:space="0" w:color="000000"/>
              <w:right w:val="single" w:sz="8" w:space="0" w:color="000000"/>
            </w:tcBorders>
          </w:tcPr>
          <w:p>
            <w:pPr>
              <w:pStyle w:val="TableParagraph"/>
              <w:spacing w:before="108"/>
              <w:ind w:right="328"/>
              <w:jc w:val="right"/>
              <w:rPr>
                <w:rFonts w:ascii="Times New Roman"/>
                <w:sz w:val="21"/>
              </w:rPr>
            </w:pPr>
            <w:r>
              <w:rPr>
                <w:rFonts w:ascii="Times New Roman"/>
                <w:w w:val="99"/>
                <w:sz w:val="21"/>
              </w:rPr>
              <w:t>4</w:t>
            </w:r>
          </w:p>
        </w:tc>
        <w:tc>
          <w:tcPr>
            <w:tcW w:w="2701" w:type="dxa"/>
            <w:tcBorders>
              <w:top w:val="single" w:sz="8" w:space="0" w:color="000000"/>
              <w:left w:val="single" w:sz="8" w:space="0" w:color="000000"/>
              <w:bottom w:val="single" w:sz="8" w:space="0" w:color="000000"/>
              <w:right w:val="single" w:sz="8" w:space="0" w:color="000000"/>
            </w:tcBorders>
          </w:tcPr>
          <w:p>
            <w:pPr>
              <w:pStyle w:val="TableParagraph"/>
              <w:spacing w:before="94"/>
              <w:ind w:left="111"/>
              <w:rPr>
                <w:sz w:val="21"/>
              </w:rPr>
            </w:pPr>
            <w:r>
              <w:rPr>
                <w:sz w:val="21"/>
              </w:rPr>
              <w:t>母校满意度</w:t>
            </w:r>
          </w:p>
        </w:tc>
        <w:tc>
          <w:tcPr>
            <w:tcW w:w="881" w:type="dxa"/>
            <w:tcBorders>
              <w:top w:val="single" w:sz="8" w:space="0" w:color="000000"/>
              <w:left w:val="single" w:sz="8" w:space="0" w:color="000000"/>
              <w:bottom w:val="single" w:sz="8" w:space="0" w:color="000000"/>
              <w:right w:val="single" w:sz="8" w:space="0" w:color="000000"/>
            </w:tcBorders>
          </w:tcPr>
          <w:p>
            <w:pPr>
              <w:pStyle w:val="TableParagraph"/>
              <w:spacing w:before="108"/>
              <w:ind w:left="29"/>
              <w:jc w:val="center"/>
              <w:rPr>
                <w:rFonts w:ascii="Times New Roman"/>
                <w:sz w:val="21"/>
              </w:rPr>
            </w:pPr>
            <w:r>
              <w:rPr>
                <w:rFonts w:ascii="Times New Roman"/>
                <w:w w:val="99"/>
                <w:sz w:val="21"/>
              </w:rPr>
              <w:t>%</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108"/>
              <w:ind w:left="161" w:right="131"/>
              <w:jc w:val="center"/>
              <w:rPr>
                <w:rFonts w:ascii="Times New Roman"/>
                <w:sz w:val="21"/>
              </w:rPr>
            </w:pPr>
            <w:r>
              <w:rPr>
                <w:rFonts w:ascii="Times New Roman"/>
                <w:sz w:val="21"/>
              </w:rPr>
              <w:t>98.57</w:t>
            </w:r>
          </w:p>
        </w:tc>
        <w:tc>
          <w:tcPr>
            <w:tcW w:w="1119" w:type="dxa"/>
            <w:tcBorders>
              <w:top w:val="single" w:sz="8" w:space="0" w:color="000000"/>
              <w:left w:val="single" w:sz="8" w:space="0" w:color="000000"/>
              <w:bottom w:val="single" w:sz="8" w:space="0" w:color="000000"/>
            </w:tcBorders>
          </w:tcPr>
          <w:p>
            <w:pPr>
              <w:pStyle w:val="TableParagraph"/>
              <w:spacing w:before="108"/>
              <w:ind w:left="201" w:right="167"/>
              <w:jc w:val="center"/>
              <w:rPr>
                <w:rFonts w:ascii="Times New Roman"/>
                <w:sz w:val="21"/>
              </w:rPr>
            </w:pPr>
            <w:r>
              <w:rPr>
                <w:rFonts w:ascii="Times New Roman"/>
                <w:sz w:val="21"/>
              </w:rPr>
              <w:t>98.74</w:t>
            </w:r>
          </w:p>
        </w:tc>
      </w:tr>
      <w:tr>
        <w:trPr>
          <w:trHeight w:val="459" w:hRule="atLeast"/>
        </w:trPr>
        <w:tc>
          <w:tcPr>
            <w:tcW w:w="810" w:type="dxa"/>
            <w:vMerge/>
            <w:tcBorders>
              <w:top w:val="nil"/>
              <w:right w:val="single" w:sz="8" w:space="0" w:color="000000"/>
            </w:tcBorders>
          </w:tcPr>
          <w:p>
            <w:pPr>
              <w:rPr>
                <w:sz w:val="2"/>
                <w:szCs w:val="2"/>
              </w:rPr>
            </w:pPr>
          </w:p>
        </w:tc>
        <w:tc>
          <w:tcPr>
            <w:tcW w:w="1052" w:type="dxa"/>
            <w:vMerge/>
            <w:tcBorders>
              <w:top w:val="nil"/>
              <w:left w:val="single" w:sz="8" w:space="0" w:color="000000"/>
              <w:right w:val="single" w:sz="8" w:space="0" w:color="000000"/>
            </w:tcBorders>
          </w:tcPr>
          <w:p>
            <w:pPr>
              <w:rPr>
                <w:sz w:val="2"/>
                <w:szCs w:val="2"/>
              </w:rPr>
            </w:pPr>
          </w:p>
        </w:tc>
        <w:tc>
          <w:tcPr>
            <w:tcW w:w="811" w:type="dxa"/>
            <w:tcBorders>
              <w:top w:val="single" w:sz="8" w:space="0" w:color="000000"/>
              <w:left w:val="single" w:sz="8" w:space="0" w:color="000000"/>
              <w:bottom w:val="single" w:sz="8" w:space="0" w:color="000000"/>
              <w:right w:val="single" w:sz="8" w:space="0" w:color="000000"/>
            </w:tcBorders>
          </w:tcPr>
          <w:p>
            <w:pPr>
              <w:pStyle w:val="TableParagraph"/>
              <w:spacing w:before="107"/>
              <w:ind w:right="328"/>
              <w:jc w:val="right"/>
              <w:rPr>
                <w:rFonts w:ascii="Times New Roman"/>
                <w:sz w:val="21"/>
              </w:rPr>
            </w:pPr>
            <w:r>
              <w:rPr>
                <w:rFonts w:ascii="Times New Roman"/>
                <w:w w:val="99"/>
                <w:sz w:val="21"/>
              </w:rPr>
              <w:t>5</w:t>
            </w:r>
          </w:p>
        </w:tc>
        <w:tc>
          <w:tcPr>
            <w:tcW w:w="2701" w:type="dxa"/>
            <w:tcBorders>
              <w:top w:val="single" w:sz="8" w:space="0" w:color="000000"/>
              <w:left w:val="single" w:sz="8" w:space="0" w:color="000000"/>
              <w:bottom w:val="single" w:sz="8" w:space="0" w:color="000000"/>
              <w:right w:val="single" w:sz="8" w:space="0" w:color="000000"/>
            </w:tcBorders>
          </w:tcPr>
          <w:p>
            <w:pPr>
              <w:pStyle w:val="TableParagraph"/>
              <w:spacing w:before="93"/>
              <w:ind w:left="111"/>
              <w:rPr>
                <w:sz w:val="21"/>
              </w:rPr>
            </w:pPr>
            <w:r>
              <w:rPr>
                <w:sz w:val="21"/>
              </w:rPr>
              <w:t>自主创业比例</w:t>
            </w:r>
          </w:p>
        </w:tc>
        <w:tc>
          <w:tcPr>
            <w:tcW w:w="881" w:type="dxa"/>
            <w:tcBorders>
              <w:top w:val="single" w:sz="8" w:space="0" w:color="000000"/>
              <w:left w:val="single" w:sz="8" w:space="0" w:color="000000"/>
              <w:bottom w:val="single" w:sz="8" w:space="0" w:color="000000"/>
              <w:right w:val="single" w:sz="8" w:space="0" w:color="000000"/>
            </w:tcBorders>
          </w:tcPr>
          <w:p>
            <w:pPr>
              <w:pStyle w:val="TableParagraph"/>
              <w:spacing w:before="107"/>
              <w:ind w:left="29"/>
              <w:jc w:val="center"/>
              <w:rPr>
                <w:rFonts w:ascii="Times New Roman"/>
                <w:sz w:val="21"/>
              </w:rPr>
            </w:pPr>
            <w:r>
              <w:rPr>
                <w:rFonts w:ascii="Times New Roman"/>
                <w:w w:val="99"/>
                <w:sz w:val="21"/>
              </w:rPr>
              <w:t>%</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107"/>
              <w:ind w:left="161" w:right="131"/>
              <w:jc w:val="center"/>
              <w:rPr>
                <w:rFonts w:ascii="Times New Roman"/>
                <w:sz w:val="21"/>
              </w:rPr>
            </w:pPr>
            <w:r>
              <w:rPr>
                <w:rFonts w:ascii="Times New Roman"/>
                <w:sz w:val="21"/>
              </w:rPr>
              <w:t>4.7</w:t>
            </w:r>
          </w:p>
        </w:tc>
        <w:tc>
          <w:tcPr>
            <w:tcW w:w="1119" w:type="dxa"/>
            <w:tcBorders>
              <w:top w:val="single" w:sz="8" w:space="0" w:color="000000"/>
              <w:left w:val="single" w:sz="8" w:space="0" w:color="000000"/>
              <w:bottom w:val="single" w:sz="8" w:space="0" w:color="000000"/>
            </w:tcBorders>
          </w:tcPr>
          <w:p>
            <w:pPr>
              <w:pStyle w:val="TableParagraph"/>
              <w:spacing w:before="107"/>
              <w:ind w:left="201" w:right="165"/>
              <w:jc w:val="center"/>
              <w:rPr>
                <w:rFonts w:ascii="Times New Roman"/>
                <w:sz w:val="21"/>
              </w:rPr>
            </w:pPr>
            <w:r>
              <w:rPr>
                <w:rFonts w:ascii="Times New Roman"/>
                <w:sz w:val="21"/>
              </w:rPr>
              <w:t>5.18</w:t>
            </w:r>
          </w:p>
        </w:tc>
      </w:tr>
      <w:tr>
        <w:trPr>
          <w:trHeight w:val="460" w:hRule="atLeast"/>
        </w:trPr>
        <w:tc>
          <w:tcPr>
            <w:tcW w:w="810" w:type="dxa"/>
            <w:vMerge/>
            <w:tcBorders>
              <w:top w:val="nil"/>
              <w:right w:val="single" w:sz="8" w:space="0" w:color="000000"/>
            </w:tcBorders>
          </w:tcPr>
          <w:p>
            <w:pPr>
              <w:rPr>
                <w:sz w:val="2"/>
                <w:szCs w:val="2"/>
              </w:rPr>
            </w:pPr>
          </w:p>
        </w:tc>
        <w:tc>
          <w:tcPr>
            <w:tcW w:w="1052" w:type="dxa"/>
            <w:vMerge/>
            <w:tcBorders>
              <w:top w:val="nil"/>
              <w:left w:val="single" w:sz="8" w:space="0" w:color="000000"/>
              <w:right w:val="single" w:sz="8" w:space="0" w:color="000000"/>
            </w:tcBorders>
          </w:tcPr>
          <w:p>
            <w:pPr>
              <w:rPr>
                <w:sz w:val="2"/>
                <w:szCs w:val="2"/>
              </w:rPr>
            </w:pPr>
          </w:p>
        </w:tc>
        <w:tc>
          <w:tcPr>
            <w:tcW w:w="811" w:type="dxa"/>
            <w:tcBorders>
              <w:top w:val="single" w:sz="8" w:space="0" w:color="000000"/>
              <w:left w:val="single" w:sz="8" w:space="0" w:color="000000"/>
              <w:bottom w:val="single" w:sz="8" w:space="0" w:color="000000"/>
              <w:right w:val="single" w:sz="8" w:space="0" w:color="000000"/>
            </w:tcBorders>
          </w:tcPr>
          <w:p>
            <w:pPr>
              <w:pStyle w:val="TableParagraph"/>
              <w:spacing w:before="107"/>
              <w:ind w:right="328"/>
              <w:jc w:val="right"/>
              <w:rPr>
                <w:rFonts w:ascii="Times New Roman"/>
                <w:sz w:val="21"/>
              </w:rPr>
            </w:pPr>
            <w:r>
              <w:rPr>
                <w:rFonts w:ascii="Times New Roman"/>
                <w:w w:val="99"/>
                <w:sz w:val="21"/>
              </w:rPr>
              <w:t>6</w:t>
            </w:r>
          </w:p>
        </w:tc>
        <w:tc>
          <w:tcPr>
            <w:tcW w:w="2701" w:type="dxa"/>
            <w:tcBorders>
              <w:top w:val="single" w:sz="8" w:space="0" w:color="000000"/>
              <w:left w:val="single" w:sz="8" w:space="0" w:color="000000"/>
              <w:bottom w:val="single" w:sz="8" w:space="0" w:color="000000"/>
              <w:right w:val="single" w:sz="8" w:space="0" w:color="000000"/>
            </w:tcBorders>
          </w:tcPr>
          <w:p>
            <w:pPr>
              <w:pStyle w:val="TableParagraph"/>
              <w:spacing w:before="93"/>
              <w:ind w:left="111"/>
              <w:rPr>
                <w:sz w:val="21"/>
              </w:rPr>
            </w:pPr>
            <w:r>
              <w:rPr>
                <w:sz w:val="21"/>
              </w:rPr>
              <w:t>雇主满意度</w:t>
            </w:r>
          </w:p>
        </w:tc>
        <w:tc>
          <w:tcPr>
            <w:tcW w:w="881" w:type="dxa"/>
            <w:tcBorders>
              <w:top w:val="single" w:sz="8" w:space="0" w:color="000000"/>
              <w:left w:val="single" w:sz="8" w:space="0" w:color="000000"/>
              <w:bottom w:val="single" w:sz="8" w:space="0" w:color="000000"/>
              <w:right w:val="single" w:sz="8" w:space="0" w:color="000000"/>
            </w:tcBorders>
          </w:tcPr>
          <w:p>
            <w:pPr>
              <w:pStyle w:val="TableParagraph"/>
              <w:spacing w:before="107"/>
              <w:ind w:left="29"/>
              <w:jc w:val="center"/>
              <w:rPr>
                <w:rFonts w:ascii="Times New Roman"/>
                <w:sz w:val="21"/>
              </w:rPr>
            </w:pPr>
            <w:r>
              <w:rPr>
                <w:rFonts w:ascii="Times New Roman"/>
                <w:w w:val="99"/>
                <w:sz w:val="21"/>
              </w:rPr>
              <w:t>%</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107"/>
              <w:ind w:left="161" w:right="131"/>
              <w:jc w:val="center"/>
              <w:rPr>
                <w:rFonts w:ascii="Times New Roman"/>
                <w:sz w:val="21"/>
              </w:rPr>
            </w:pPr>
            <w:r>
              <w:rPr>
                <w:rFonts w:ascii="Times New Roman"/>
                <w:sz w:val="21"/>
              </w:rPr>
              <w:t>97.86</w:t>
            </w:r>
          </w:p>
        </w:tc>
        <w:tc>
          <w:tcPr>
            <w:tcW w:w="1119" w:type="dxa"/>
            <w:tcBorders>
              <w:top w:val="single" w:sz="8" w:space="0" w:color="000000"/>
              <w:left w:val="single" w:sz="8" w:space="0" w:color="000000"/>
              <w:bottom w:val="single" w:sz="8" w:space="0" w:color="000000"/>
            </w:tcBorders>
          </w:tcPr>
          <w:p>
            <w:pPr>
              <w:pStyle w:val="TableParagraph"/>
              <w:spacing w:before="107"/>
              <w:ind w:left="201" w:right="167"/>
              <w:jc w:val="center"/>
              <w:rPr>
                <w:rFonts w:ascii="Times New Roman"/>
                <w:sz w:val="21"/>
              </w:rPr>
            </w:pPr>
            <w:r>
              <w:rPr>
                <w:rFonts w:ascii="Times New Roman"/>
                <w:sz w:val="21"/>
              </w:rPr>
              <w:t>97.48</w:t>
            </w:r>
          </w:p>
        </w:tc>
      </w:tr>
      <w:tr>
        <w:trPr>
          <w:trHeight w:val="464" w:hRule="atLeast"/>
        </w:trPr>
        <w:tc>
          <w:tcPr>
            <w:tcW w:w="810" w:type="dxa"/>
            <w:vMerge/>
            <w:tcBorders>
              <w:top w:val="nil"/>
              <w:right w:val="single" w:sz="8" w:space="0" w:color="000000"/>
            </w:tcBorders>
          </w:tcPr>
          <w:p>
            <w:pPr>
              <w:rPr>
                <w:sz w:val="2"/>
                <w:szCs w:val="2"/>
              </w:rPr>
            </w:pPr>
          </w:p>
        </w:tc>
        <w:tc>
          <w:tcPr>
            <w:tcW w:w="1052" w:type="dxa"/>
            <w:vMerge/>
            <w:tcBorders>
              <w:top w:val="nil"/>
              <w:left w:val="single" w:sz="8" w:space="0" w:color="000000"/>
              <w:right w:val="single" w:sz="8" w:space="0" w:color="000000"/>
            </w:tcBorders>
          </w:tcPr>
          <w:p>
            <w:pPr>
              <w:rPr>
                <w:sz w:val="2"/>
                <w:szCs w:val="2"/>
              </w:rPr>
            </w:pPr>
          </w:p>
        </w:tc>
        <w:tc>
          <w:tcPr>
            <w:tcW w:w="811" w:type="dxa"/>
            <w:tcBorders>
              <w:top w:val="single" w:sz="8" w:space="0" w:color="000000"/>
              <w:left w:val="single" w:sz="8" w:space="0" w:color="000000"/>
              <w:right w:val="single" w:sz="8" w:space="0" w:color="000000"/>
            </w:tcBorders>
          </w:tcPr>
          <w:p>
            <w:pPr>
              <w:pStyle w:val="TableParagraph"/>
              <w:spacing w:before="109"/>
              <w:ind w:right="328"/>
              <w:jc w:val="right"/>
              <w:rPr>
                <w:rFonts w:ascii="Times New Roman"/>
                <w:sz w:val="21"/>
              </w:rPr>
            </w:pPr>
            <w:r>
              <w:rPr>
                <w:rFonts w:ascii="Times New Roman"/>
                <w:w w:val="99"/>
                <w:sz w:val="21"/>
              </w:rPr>
              <w:t>7</w:t>
            </w:r>
          </w:p>
        </w:tc>
        <w:tc>
          <w:tcPr>
            <w:tcW w:w="2701" w:type="dxa"/>
            <w:tcBorders>
              <w:top w:val="single" w:sz="8" w:space="0" w:color="000000"/>
              <w:left w:val="single" w:sz="8" w:space="0" w:color="000000"/>
              <w:right w:val="single" w:sz="8" w:space="0" w:color="000000"/>
            </w:tcBorders>
          </w:tcPr>
          <w:p>
            <w:pPr>
              <w:pStyle w:val="TableParagraph"/>
              <w:spacing w:before="95"/>
              <w:ind w:left="111"/>
              <w:rPr>
                <w:sz w:val="21"/>
              </w:rPr>
            </w:pPr>
            <w:r>
              <w:rPr>
                <w:sz w:val="21"/>
              </w:rPr>
              <w:t>毕业三年职位晋升比例</w:t>
            </w:r>
          </w:p>
        </w:tc>
        <w:tc>
          <w:tcPr>
            <w:tcW w:w="881" w:type="dxa"/>
            <w:tcBorders>
              <w:top w:val="single" w:sz="8" w:space="0" w:color="000000"/>
              <w:left w:val="single" w:sz="8" w:space="0" w:color="000000"/>
              <w:right w:val="single" w:sz="8" w:space="0" w:color="000000"/>
            </w:tcBorders>
          </w:tcPr>
          <w:p>
            <w:pPr>
              <w:pStyle w:val="TableParagraph"/>
              <w:spacing w:before="109"/>
              <w:ind w:left="29"/>
              <w:jc w:val="center"/>
              <w:rPr>
                <w:rFonts w:ascii="Times New Roman"/>
                <w:sz w:val="21"/>
              </w:rPr>
            </w:pPr>
            <w:r>
              <w:rPr>
                <w:rFonts w:ascii="Times New Roman"/>
                <w:w w:val="99"/>
                <w:sz w:val="21"/>
              </w:rPr>
              <w:t>%</w:t>
            </w:r>
          </w:p>
        </w:tc>
        <w:tc>
          <w:tcPr>
            <w:tcW w:w="1040" w:type="dxa"/>
            <w:tcBorders>
              <w:top w:val="single" w:sz="8" w:space="0" w:color="000000"/>
              <w:left w:val="single" w:sz="8" w:space="0" w:color="000000"/>
              <w:right w:val="single" w:sz="8" w:space="0" w:color="000000"/>
            </w:tcBorders>
          </w:tcPr>
          <w:p>
            <w:pPr>
              <w:pStyle w:val="TableParagraph"/>
              <w:spacing w:before="109"/>
              <w:ind w:left="161" w:right="131"/>
              <w:jc w:val="center"/>
              <w:rPr>
                <w:rFonts w:ascii="Times New Roman"/>
                <w:sz w:val="21"/>
              </w:rPr>
            </w:pPr>
            <w:r>
              <w:rPr>
                <w:rFonts w:ascii="Times New Roman"/>
                <w:sz w:val="21"/>
              </w:rPr>
              <w:t>72.41</w:t>
            </w:r>
          </w:p>
        </w:tc>
        <w:tc>
          <w:tcPr>
            <w:tcW w:w="1119" w:type="dxa"/>
            <w:tcBorders>
              <w:top w:val="single" w:sz="8" w:space="0" w:color="000000"/>
              <w:left w:val="single" w:sz="8" w:space="0" w:color="000000"/>
            </w:tcBorders>
          </w:tcPr>
          <w:p>
            <w:pPr>
              <w:pStyle w:val="TableParagraph"/>
              <w:spacing w:before="109"/>
              <w:ind w:left="201" w:right="167"/>
              <w:jc w:val="center"/>
              <w:rPr>
                <w:rFonts w:ascii="Times New Roman"/>
                <w:sz w:val="21"/>
              </w:rPr>
            </w:pPr>
            <w:r>
              <w:rPr>
                <w:rFonts w:ascii="Times New Roman"/>
                <w:sz w:val="21"/>
              </w:rPr>
              <w:t>83.38</w:t>
            </w:r>
          </w:p>
        </w:tc>
      </w:tr>
    </w:tbl>
    <w:p>
      <w:pPr>
        <w:spacing w:after="0"/>
        <w:jc w:val="center"/>
        <w:rPr>
          <w:rFonts w:ascii="Times New Roman"/>
          <w:sz w:val="21"/>
        </w:rPr>
        <w:sectPr>
          <w:pgSz w:w="11910" w:h="16840"/>
          <w:pgMar w:header="780" w:footer="1241" w:top="1260" w:bottom="1440" w:left="0" w:right="0"/>
        </w:sectPr>
      </w:pPr>
    </w:p>
    <w:p>
      <w:pPr>
        <w:pStyle w:val="BodyText"/>
        <w:rPr>
          <w:b/>
          <w:sz w:val="20"/>
        </w:rPr>
      </w:pPr>
    </w:p>
    <w:p>
      <w:pPr>
        <w:pStyle w:val="BodyText"/>
        <w:rPr>
          <w:b/>
          <w:sz w:val="20"/>
        </w:rPr>
      </w:pPr>
    </w:p>
    <w:p>
      <w:pPr>
        <w:pStyle w:val="BodyText"/>
        <w:rPr>
          <w:b/>
          <w:sz w:val="20"/>
        </w:rPr>
      </w:pPr>
    </w:p>
    <w:p>
      <w:pPr>
        <w:pStyle w:val="BodyText"/>
        <w:spacing w:before="9"/>
        <w:rPr>
          <w:b/>
          <w:sz w:val="28"/>
        </w:rPr>
      </w:pPr>
    </w:p>
    <w:p>
      <w:pPr>
        <w:pStyle w:val="Heading1"/>
        <w:numPr>
          <w:ilvl w:val="0"/>
          <w:numId w:val="3"/>
        </w:numPr>
        <w:tabs>
          <w:tab w:pos="2397" w:val="left" w:leader="none"/>
          <w:tab w:pos="2398" w:val="left" w:leader="none"/>
        </w:tabs>
        <w:spacing w:line="240" w:lineRule="auto" w:before="71" w:after="0"/>
        <w:ind w:left="2397" w:right="0" w:hanging="421"/>
        <w:jc w:val="left"/>
      </w:pPr>
      <w:bookmarkStart w:name="3  教育教学" w:id="109"/>
      <w:bookmarkEnd w:id="109"/>
      <w:r>
        <w:rPr>
          <w:b w:val="0"/>
        </w:rPr>
      </w:r>
      <w:bookmarkStart w:name="_bookmark40" w:id="110"/>
      <w:bookmarkEnd w:id="110"/>
      <w:r>
        <w:rPr>
          <w:b w:val="0"/>
        </w:rPr>
      </w:r>
      <w:bookmarkStart w:name="_bookmark40" w:id="111"/>
      <w:bookmarkEnd w:id="111"/>
      <w:r>
        <w:rPr/>
        <w:t>教育教学</w:t>
      </w:r>
    </w:p>
    <w:p>
      <w:pPr>
        <w:pStyle w:val="BodyText"/>
        <w:spacing w:before="11"/>
        <w:rPr>
          <w:rFonts w:ascii="黑体"/>
          <w:b/>
          <w:sz w:val="34"/>
        </w:rPr>
      </w:pPr>
    </w:p>
    <w:p>
      <w:pPr>
        <w:pStyle w:val="Heading2"/>
        <w:numPr>
          <w:ilvl w:val="1"/>
          <w:numId w:val="3"/>
        </w:numPr>
        <w:tabs>
          <w:tab w:pos="2471" w:val="left" w:leader="none"/>
          <w:tab w:pos="2472" w:val="left" w:leader="none"/>
        </w:tabs>
        <w:spacing w:line="240" w:lineRule="auto" w:before="0" w:after="0"/>
        <w:ind w:left="2472" w:right="0" w:hanging="574"/>
        <w:jc w:val="left"/>
      </w:pPr>
      <w:bookmarkStart w:name="3.1  资源表" w:id="112"/>
      <w:bookmarkEnd w:id="112"/>
      <w:r>
        <w:rPr>
          <w:b w:val="0"/>
        </w:rPr>
      </w:r>
      <w:bookmarkStart w:name="_bookmark41" w:id="113"/>
      <w:bookmarkEnd w:id="113"/>
      <w:r>
        <w:rPr>
          <w:b w:val="0"/>
        </w:rPr>
      </w:r>
      <w:bookmarkStart w:name="_bookmark41" w:id="114"/>
      <w:bookmarkEnd w:id="114"/>
      <w:r>
        <w:rPr/>
        <w:t>资源表</w:t>
      </w:r>
    </w:p>
    <w:p>
      <w:pPr>
        <w:pStyle w:val="BodyText"/>
        <w:spacing w:before="9"/>
        <w:rPr>
          <w:rFonts w:ascii="黑体"/>
          <w:b/>
          <w:sz w:val="30"/>
        </w:rPr>
      </w:pPr>
    </w:p>
    <w:p>
      <w:pPr>
        <w:pStyle w:val="BodyText"/>
        <w:spacing w:line="364" w:lineRule="auto"/>
        <w:ind w:left="1418" w:right="1454" w:firstLine="480"/>
        <w:jc w:val="both"/>
      </w:pPr>
      <w:r>
        <w:rPr>
          <w:spacing w:val="-7"/>
        </w:rPr>
        <w:t>学院加大教师队伍建设力度，通过聘用企业兼职教师、深化专任教师企业培训扥措</w:t>
      </w:r>
      <w:r>
        <w:rPr>
          <w:spacing w:val="-10"/>
        </w:rPr>
        <w:t>施，生师比、双师素质比例不断优化；同时，在学生规模快速增长的情况下，不断加大</w:t>
      </w:r>
      <w:r>
        <w:rPr>
          <w:spacing w:val="-7"/>
        </w:rPr>
        <w:t>基础设施建设和教学仪器设备投入，生均水平依旧维持较高水平且居于全省高职院校前</w:t>
      </w:r>
      <w:r>
        <w:rPr>
          <w:spacing w:val="-10"/>
        </w:rPr>
        <w:t>列；重视智慧校园建设工作，教育信息化水平不断提升，根据专业群建设规划不断整合</w:t>
      </w:r>
      <w:r>
        <w:rPr/>
        <w:t>课程，收到了较好的效果。</w:t>
      </w:r>
    </w:p>
    <w:p>
      <w:pPr>
        <w:spacing w:before="21"/>
        <w:ind w:left="5224" w:right="0" w:firstLine="0"/>
        <w:jc w:val="both"/>
        <w:rPr>
          <w:b/>
          <w:sz w:val="21"/>
        </w:rPr>
      </w:pPr>
      <w:r>
        <w:rPr>
          <w:b/>
          <w:sz w:val="21"/>
        </w:rPr>
        <w:t>表 3-1 资源表</w:t>
      </w:r>
    </w:p>
    <w:p>
      <w:pPr>
        <w:pStyle w:val="BodyText"/>
        <w:rPr>
          <w:b/>
          <w:sz w:val="20"/>
        </w:rPr>
      </w:pPr>
    </w:p>
    <w:p>
      <w:pPr>
        <w:pStyle w:val="BodyText"/>
        <w:spacing w:before="6"/>
        <w:rPr>
          <w:b/>
          <w:sz w:val="22"/>
        </w:rPr>
      </w:pPr>
    </w:p>
    <w:tbl>
      <w:tblPr>
        <w:tblW w:w="0" w:type="auto"/>
        <w:jc w:val="left"/>
        <w:tblInd w:w="14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9"/>
        <w:gridCol w:w="854"/>
        <w:gridCol w:w="703"/>
        <w:gridCol w:w="3548"/>
        <w:gridCol w:w="993"/>
        <w:gridCol w:w="993"/>
        <w:gridCol w:w="993"/>
      </w:tblGrid>
      <w:tr>
        <w:trPr>
          <w:trHeight w:val="624" w:hRule="atLeast"/>
        </w:trPr>
        <w:tc>
          <w:tcPr>
            <w:tcW w:w="819" w:type="dxa"/>
            <w:tcBorders>
              <w:bottom w:val="single" w:sz="8" w:space="0" w:color="000000"/>
              <w:right w:val="single" w:sz="8" w:space="0" w:color="000000"/>
            </w:tcBorders>
          </w:tcPr>
          <w:p>
            <w:pPr>
              <w:pStyle w:val="TableParagraph"/>
              <w:spacing w:before="2"/>
              <w:ind w:left="108"/>
              <w:rPr>
                <w:rFonts w:ascii="仿宋" w:eastAsia="仿宋" w:hint="eastAsia"/>
                <w:b/>
                <w:sz w:val="24"/>
              </w:rPr>
            </w:pPr>
            <w:r>
              <w:rPr>
                <w:rFonts w:ascii="仿宋" w:eastAsia="仿宋" w:hint="eastAsia"/>
                <w:b/>
                <w:w w:val="95"/>
                <w:sz w:val="24"/>
              </w:rPr>
              <w:t>院校</w:t>
            </w:r>
          </w:p>
          <w:p>
            <w:pPr>
              <w:pStyle w:val="TableParagraph"/>
              <w:spacing w:line="289" w:lineRule="exact" w:before="5"/>
              <w:ind w:left="108"/>
              <w:rPr>
                <w:rFonts w:ascii="仿宋" w:eastAsia="仿宋" w:hint="eastAsia"/>
                <w:b/>
                <w:sz w:val="24"/>
              </w:rPr>
            </w:pPr>
            <w:r>
              <w:rPr>
                <w:rFonts w:ascii="仿宋" w:eastAsia="仿宋" w:hint="eastAsia"/>
                <w:b/>
                <w:w w:val="95"/>
                <w:sz w:val="24"/>
              </w:rPr>
              <w:t>代码</w:t>
            </w:r>
          </w:p>
        </w:tc>
        <w:tc>
          <w:tcPr>
            <w:tcW w:w="854" w:type="dxa"/>
            <w:tcBorders>
              <w:left w:val="single" w:sz="8" w:space="0" w:color="000000"/>
              <w:bottom w:val="single" w:sz="8" w:space="0" w:color="000000"/>
              <w:right w:val="single" w:sz="8" w:space="0" w:color="000000"/>
            </w:tcBorders>
          </w:tcPr>
          <w:p>
            <w:pPr>
              <w:pStyle w:val="TableParagraph"/>
              <w:spacing w:before="2"/>
              <w:ind w:left="112"/>
              <w:rPr>
                <w:rFonts w:ascii="仿宋" w:eastAsia="仿宋" w:hint="eastAsia"/>
                <w:b/>
                <w:sz w:val="24"/>
              </w:rPr>
            </w:pPr>
            <w:r>
              <w:rPr>
                <w:rFonts w:ascii="仿宋" w:eastAsia="仿宋" w:hint="eastAsia"/>
                <w:b/>
                <w:w w:val="95"/>
                <w:sz w:val="24"/>
              </w:rPr>
              <w:t>院校</w:t>
            </w:r>
          </w:p>
          <w:p>
            <w:pPr>
              <w:pStyle w:val="TableParagraph"/>
              <w:spacing w:line="289" w:lineRule="exact" w:before="5"/>
              <w:ind w:left="112"/>
              <w:rPr>
                <w:rFonts w:ascii="仿宋" w:eastAsia="仿宋" w:hint="eastAsia"/>
                <w:b/>
                <w:sz w:val="24"/>
              </w:rPr>
            </w:pPr>
            <w:r>
              <w:rPr>
                <w:rFonts w:ascii="仿宋" w:eastAsia="仿宋" w:hint="eastAsia"/>
                <w:b/>
                <w:w w:val="95"/>
                <w:sz w:val="24"/>
              </w:rPr>
              <w:t>名称</w:t>
            </w:r>
          </w:p>
        </w:tc>
        <w:tc>
          <w:tcPr>
            <w:tcW w:w="4251" w:type="dxa"/>
            <w:gridSpan w:val="2"/>
            <w:tcBorders>
              <w:left w:val="single" w:sz="8" w:space="0" w:color="000000"/>
              <w:bottom w:val="single" w:sz="8" w:space="0" w:color="000000"/>
              <w:right w:val="single" w:sz="8" w:space="0" w:color="000000"/>
            </w:tcBorders>
          </w:tcPr>
          <w:p>
            <w:pPr>
              <w:pStyle w:val="TableParagraph"/>
              <w:spacing w:before="158"/>
              <w:ind w:left="1867" w:right="1841"/>
              <w:jc w:val="center"/>
              <w:rPr>
                <w:rFonts w:ascii="仿宋" w:eastAsia="仿宋" w:hint="eastAsia"/>
                <w:b/>
                <w:sz w:val="24"/>
              </w:rPr>
            </w:pPr>
            <w:r>
              <w:rPr>
                <w:rFonts w:ascii="仿宋" w:eastAsia="仿宋" w:hint="eastAsia"/>
                <w:b/>
                <w:sz w:val="24"/>
              </w:rPr>
              <w:t>指标</w:t>
            </w:r>
          </w:p>
        </w:tc>
        <w:tc>
          <w:tcPr>
            <w:tcW w:w="993" w:type="dxa"/>
            <w:tcBorders>
              <w:left w:val="single" w:sz="8" w:space="0" w:color="000000"/>
              <w:bottom w:val="single" w:sz="8" w:space="0" w:color="000000"/>
              <w:right w:val="single" w:sz="8" w:space="0" w:color="000000"/>
            </w:tcBorders>
          </w:tcPr>
          <w:p>
            <w:pPr>
              <w:pStyle w:val="TableParagraph"/>
              <w:spacing w:before="158"/>
              <w:ind w:right="231"/>
              <w:jc w:val="right"/>
              <w:rPr>
                <w:rFonts w:ascii="仿宋" w:eastAsia="仿宋" w:hint="eastAsia"/>
                <w:b/>
                <w:sz w:val="24"/>
              </w:rPr>
            </w:pPr>
            <w:r>
              <w:rPr>
                <w:rFonts w:ascii="仿宋" w:eastAsia="仿宋" w:hint="eastAsia"/>
                <w:b/>
                <w:w w:val="95"/>
                <w:sz w:val="24"/>
              </w:rPr>
              <w:t>单位</w:t>
            </w:r>
          </w:p>
        </w:tc>
        <w:tc>
          <w:tcPr>
            <w:tcW w:w="993" w:type="dxa"/>
            <w:tcBorders>
              <w:left w:val="single" w:sz="8" w:space="0" w:color="000000"/>
              <w:bottom w:val="single" w:sz="8" w:space="0" w:color="000000"/>
              <w:right w:val="single" w:sz="8" w:space="0" w:color="000000"/>
            </w:tcBorders>
          </w:tcPr>
          <w:p>
            <w:pPr>
              <w:pStyle w:val="TableParagraph"/>
              <w:spacing w:before="158"/>
              <w:ind w:left="59" w:right="27"/>
              <w:jc w:val="center"/>
              <w:rPr>
                <w:rFonts w:ascii="仿宋" w:eastAsia="仿宋" w:hint="eastAsia"/>
                <w:b/>
                <w:sz w:val="24"/>
              </w:rPr>
            </w:pPr>
            <w:r>
              <w:rPr>
                <w:rFonts w:ascii="仿宋" w:eastAsia="仿宋" w:hint="eastAsia"/>
                <w:b/>
                <w:sz w:val="24"/>
              </w:rPr>
              <w:t>2017 年</w:t>
            </w:r>
          </w:p>
        </w:tc>
        <w:tc>
          <w:tcPr>
            <w:tcW w:w="993" w:type="dxa"/>
            <w:tcBorders>
              <w:left w:val="single" w:sz="8" w:space="0" w:color="000000"/>
              <w:bottom w:val="single" w:sz="8" w:space="0" w:color="000000"/>
            </w:tcBorders>
          </w:tcPr>
          <w:p>
            <w:pPr>
              <w:pStyle w:val="TableParagraph"/>
              <w:spacing w:before="158"/>
              <w:ind w:left="58" w:right="22"/>
              <w:jc w:val="center"/>
              <w:rPr>
                <w:rFonts w:ascii="仿宋" w:eastAsia="仿宋" w:hint="eastAsia"/>
                <w:b/>
                <w:sz w:val="24"/>
              </w:rPr>
            </w:pPr>
            <w:r>
              <w:rPr>
                <w:rFonts w:ascii="仿宋" w:eastAsia="仿宋" w:hint="eastAsia"/>
                <w:b/>
                <w:sz w:val="24"/>
              </w:rPr>
              <w:t>2018 年</w:t>
            </w:r>
          </w:p>
        </w:tc>
      </w:tr>
      <w:tr>
        <w:trPr>
          <w:trHeight w:val="450" w:hRule="atLeast"/>
        </w:trPr>
        <w:tc>
          <w:tcPr>
            <w:tcW w:w="819" w:type="dxa"/>
            <w:vMerge w:val="restart"/>
            <w:tcBorders>
              <w:top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
              <w:rPr>
                <w:b/>
                <w:sz w:val="31"/>
              </w:rPr>
            </w:pPr>
          </w:p>
          <w:p>
            <w:pPr>
              <w:pStyle w:val="TableParagraph"/>
              <w:ind w:left="108"/>
              <w:rPr>
                <w:rFonts w:ascii="仿宋"/>
                <w:sz w:val="24"/>
              </w:rPr>
            </w:pPr>
            <w:r>
              <w:rPr>
                <w:rFonts w:ascii="仿宋"/>
                <w:sz w:val="24"/>
              </w:rPr>
              <w:t>13043</w:t>
            </w:r>
          </w:p>
        </w:tc>
        <w:tc>
          <w:tcPr>
            <w:tcW w:w="854"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30"/>
              </w:rPr>
            </w:pPr>
          </w:p>
          <w:p>
            <w:pPr>
              <w:pStyle w:val="TableParagraph"/>
              <w:spacing w:line="242" w:lineRule="auto"/>
              <w:ind w:left="191" w:right="160"/>
              <w:jc w:val="both"/>
              <w:rPr>
                <w:rFonts w:ascii="仿宋" w:eastAsia="仿宋" w:hint="eastAsia"/>
                <w:sz w:val="24"/>
              </w:rPr>
            </w:pPr>
            <w:r>
              <w:rPr>
                <w:rFonts w:ascii="仿宋" w:eastAsia="仿宋" w:hint="eastAsia"/>
                <w:sz w:val="24"/>
              </w:rPr>
              <w:t>湖南化工职业技术学院</w:t>
            </w: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73"/>
              <w:ind w:left="27"/>
              <w:jc w:val="center"/>
              <w:rPr>
                <w:rFonts w:ascii="仿宋"/>
                <w:sz w:val="24"/>
              </w:rPr>
            </w:pPr>
            <w:r>
              <w:rPr>
                <w:rFonts w:ascii="仿宋"/>
                <w:sz w:val="24"/>
              </w:rPr>
              <w:t>1</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3"/>
              <w:ind w:left="113"/>
              <w:rPr>
                <w:rFonts w:ascii="仿宋" w:eastAsia="仿宋" w:hint="eastAsia"/>
                <w:sz w:val="24"/>
              </w:rPr>
            </w:pPr>
            <w:r>
              <w:rPr>
                <w:rFonts w:ascii="仿宋" w:eastAsia="仿宋" w:hint="eastAsia"/>
                <w:sz w:val="24"/>
              </w:rPr>
              <w:t>生师比</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3"/>
              <w:ind w:left="29"/>
              <w:jc w:val="center"/>
              <w:rPr>
                <w:rFonts w:ascii="仿宋" w:hAnsi="仿宋"/>
                <w:sz w:val="24"/>
              </w:rPr>
            </w:pPr>
            <w:r>
              <w:rPr>
                <w:rFonts w:ascii="仿宋" w:hAnsi="仿宋"/>
                <w:sz w:val="24"/>
              </w:rPr>
              <w:t>—</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3"/>
              <w:ind w:left="52" w:right="27"/>
              <w:jc w:val="center"/>
              <w:rPr>
                <w:rFonts w:ascii="仿宋"/>
                <w:sz w:val="24"/>
              </w:rPr>
            </w:pPr>
            <w:r>
              <w:rPr>
                <w:rFonts w:ascii="仿宋"/>
                <w:sz w:val="24"/>
              </w:rPr>
              <w:t>15.37</w:t>
            </w:r>
          </w:p>
        </w:tc>
        <w:tc>
          <w:tcPr>
            <w:tcW w:w="993" w:type="dxa"/>
            <w:tcBorders>
              <w:top w:val="single" w:sz="8" w:space="0" w:color="000000"/>
              <w:left w:val="single" w:sz="8" w:space="0" w:color="000000"/>
              <w:bottom w:val="single" w:sz="8" w:space="0" w:color="000000"/>
            </w:tcBorders>
          </w:tcPr>
          <w:p>
            <w:pPr>
              <w:pStyle w:val="TableParagraph"/>
              <w:spacing w:before="73"/>
              <w:ind w:left="54" w:right="23"/>
              <w:jc w:val="center"/>
              <w:rPr>
                <w:rFonts w:ascii="仿宋"/>
                <w:sz w:val="24"/>
              </w:rPr>
            </w:pPr>
            <w:r>
              <w:rPr>
                <w:rFonts w:ascii="仿宋"/>
                <w:sz w:val="24"/>
              </w:rPr>
              <w:t>14.62</w:t>
            </w:r>
          </w:p>
        </w:tc>
      </w:tr>
      <w:tr>
        <w:trPr>
          <w:trHeight w:val="457"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76"/>
              <w:ind w:left="27"/>
              <w:jc w:val="center"/>
              <w:rPr>
                <w:rFonts w:ascii="仿宋"/>
                <w:sz w:val="24"/>
              </w:rPr>
            </w:pPr>
            <w:r>
              <w:rPr>
                <w:rFonts w:ascii="仿宋"/>
                <w:sz w:val="24"/>
              </w:rPr>
              <w:t>2</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6"/>
              <w:ind w:left="113"/>
              <w:rPr>
                <w:rFonts w:ascii="仿宋" w:eastAsia="仿宋" w:hint="eastAsia"/>
                <w:sz w:val="24"/>
              </w:rPr>
            </w:pPr>
            <w:r>
              <w:rPr>
                <w:rFonts w:ascii="仿宋" w:eastAsia="仿宋" w:hint="eastAsia"/>
                <w:sz w:val="24"/>
              </w:rPr>
              <w:t>双师素质专任教师比例</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6"/>
              <w:ind w:left="29"/>
              <w:jc w:val="center"/>
              <w:rPr>
                <w:rFonts w:ascii="仿宋"/>
                <w:sz w:val="24"/>
              </w:rPr>
            </w:pPr>
            <w:r>
              <w:rPr>
                <w:rFonts w:ascii="仿宋"/>
                <w:sz w:val="24"/>
              </w:rPr>
              <w:t>%</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6"/>
              <w:ind w:left="52" w:right="27"/>
              <w:jc w:val="center"/>
              <w:rPr>
                <w:rFonts w:ascii="仿宋"/>
                <w:sz w:val="24"/>
              </w:rPr>
            </w:pPr>
            <w:r>
              <w:rPr>
                <w:rFonts w:ascii="仿宋"/>
                <w:sz w:val="24"/>
              </w:rPr>
              <w:t>75.13</w:t>
            </w:r>
          </w:p>
        </w:tc>
        <w:tc>
          <w:tcPr>
            <w:tcW w:w="993" w:type="dxa"/>
            <w:tcBorders>
              <w:top w:val="single" w:sz="8" w:space="0" w:color="000000"/>
              <w:left w:val="single" w:sz="8" w:space="0" w:color="000000"/>
              <w:bottom w:val="single" w:sz="8" w:space="0" w:color="000000"/>
            </w:tcBorders>
          </w:tcPr>
          <w:p>
            <w:pPr>
              <w:pStyle w:val="TableParagraph"/>
              <w:spacing w:before="76"/>
              <w:ind w:left="54" w:right="23"/>
              <w:jc w:val="center"/>
              <w:rPr>
                <w:rFonts w:ascii="仿宋"/>
                <w:sz w:val="24"/>
              </w:rPr>
            </w:pPr>
            <w:r>
              <w:rPr>
                <w:rFonts w:ascii="仿宋"/>
                <w:sz w:val="24"/>
              </w:rPr>
              <w:t>81.68</w:t>
            </w:r>
          </w:p>
        </w:tc>
      </w:tr>
      <w:tr>
        <w:trPr>
          <w:trHeight w:val="458"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75"/>
              <w:ind w:left="27"/>
              <w:jc w:val="center"/>
              <w:rPr>
                <w:rFonts w:ascii="仿宋"/>
                <w:sz w:val="24"/>
              </w:rPr>
            </w:pPr>
            <w:r>
              <w:rPr>
                <w:rFonts w:ascii="仿宋"/>
                <w:sz w:val="24"/>
              </w:rPr>
              <w:t>3</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5"/>
              <w:ind w:left="113"/>
              <w:rPr>
                <w:rFonts w:ascii="仿宋" w:eastAsia="仿宋" w:hint="eastAsia"/>
                <w:sz w:val="24"/>
              </w:rPr>
            </w:pPr>
            <w:r>
              <w:rPr>
                <w:rFonts w:ascii="仿宋" w:eastAsia="仿宋" w:hint="eastAsia"/>
                <w:sz w:val="24"/>
              </w:rPr>
              <w:t>生均教学科研仪器设备值</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5"/>
              <w:ind w:right="171"/>
              <w:jc w:val="right"/>
              <w:rPr>
                <w:rFonts w:ascii="仿宋" w:eastAsia="仿宋" w:hint="eastAsia"/>
                <w:sz w:val="24"/>
              </w:rPr>
            </w:pPr>
            <w:r>
              <w:rPr>
                <w:rFonts w:ascii="仿宋" w:eastAsia="仿宋" w:hint="eastAsia"/>
                <w:sz w:val="24"/>
              </w:rPr>
              <w:t>元/生</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5"/>
              <w:ind w:left="52" w:right="27"/>
              <w:jc w:val="center"/>
              <w:rPr>
                <w:rFonts w:ascii="仿宋"/>
                <w:sz w:val="24"/>
              </w:rPr>
            </w:pPr>
            <w:r>
              <w:rPr>
                <w:rFonts w:ascii="仿宋"/>
                <w:sz w:val="24"/>
              </w:rPr>
              <w:t>8025.9</w:t>
            </w:r>
          </w:p>
        </w:tc>
        <w:tc>
          <w:tcPr>
            <w:tcW w:w="993" w:type="dxa"/>
            <w:tcBorders>
              <w:top w:val="single" w:sz="8" w:space="0" w:color="000000"/>
              <w:left w:val="single" w:sz="8" w:space="0" w:color="000000"/>
              <w:bottom w:val="single" w:sz="8" w:space="0" w:color="000000"/>
            </w:tcBorders>
          </w:tcPr>
          <w:p>
            <w:pPr>
              <w:pStyle w:val="TableParagraph"/>
              <w:spacing w:before="75"/>
              <w:ind w:left="54" w:right="23"/>
              <w:jc w:val="center"/>
              <w:rPr>
                <w:rFonts w:ascii="仿宋"/>
                <w:sz w:val="24"/>
              </w:rPr>
            </w:pPr>
            <w:r>
              <w:rPr>
                <w:rFonts w:ascii="仿宋"/>
                <w:sz w:val="24"/>
              </w:rPr>
              <w:t>8414.4</w:t>
            </w:r>
          </w:p>
        </w:tc>
      </w:tr>
      <w:tr>
        <w:trPr>
          <w:trHeight w:val="613"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153"/>
              <w:ind w:left="27"/>
              <w:jc w:val="center"/>
              <w:rPr>
                <w:rFonts w:ascii="仿宋"/>
                <w:sz w:val="24"/>
              </w:rPr>
            </w:pPr>
            <w:r>
              <w:rPr>
                <w:rFonts w:ascii="仿宋"/>
                <w:sz w:val="24"/>
              </w:rPr>
              <w:t>4</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13"/>
              <w:rPr>
                <w:rFonts w:ascii="仿宋" w:eastAsia="仿宋" w:hint="eastAsia"/>
                <w:sz w:val="24"/>
              </w:rPr>
            </w:pPr>
            <w:r>
              <w:rPr>
                <w:rFonts w:ascii="仿宋" w:eastAsia="仿宋" w:hint="eastAsia"/>
                <w:sz w:val="24"/>
              </w:rPr>
              <w:t>生均教学及辅助、行政办公用房</w:t>
            </w:r>
          </w:p>
          <w:p>
            <w:pPr>
              <w:pStyle w:val="TableParagraph"/>
              <w:spacing w:line="284" w:lineRule="exact" w:before="4"/>
              <w:ind w:left="113"/>
              <w:rPr>
                <w:rFonts w:ascii="仿宋" w:eastAsia="仿宋" w:hint="eastAsia"/>
                <w:sz w:val="24"/>
              </w:rPr>
            </w:pPr>
            <w:r>
              <w:rPr>
                <w:rFonts w:ascii="仿宋" w:eastAsia="仿宋" w:hint="eastAsia"/>
                <w:sz w:val="24"/>
              </w:rPr>
              <w:t>面积</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3"/>
              <w:ind w:right="201"/>
              <w:jc w:val="right"/>
              <w:rPr>
                <w:rFonts w:ascii="仿宋" w:eastAsia="仿宋" w:hint="eastAsia"/>
                <w:sz w:val="24"/>
              </w:rPr>
            </w:pPr>
            <w:r>
              <w:rPr>
                <w:rFonts w:ascii="仿宋" w:eastAsia="仿宋" w:hint="eastAsia"/>
                <w:sz w:val="24"/>
              </w:rPr>
              <w:t>m</w:t>
            </w:r>
            <w:r>
              <w:rPr>
                <w:rFonts w:ascii="仿宋" w:eastAsia="仿宋" w:hint="eastAsia"/>
                <w:position w:val="12"/>
                <w:sz w:val="12"/>
              </w:rPr>
              <w:t>2</w:t>
            </w:r>
            <w:r>
              <w:rPr>
                <w:rFonts w:ascii="仿宋" w:eastAsia="仿宋" w:hint="eastAsia"/>
                <w:sz w:val="24"/>
              </w:rPr>
              <w:t>/生</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3"/>
              <w:ind w:left="52" w:right="27"/>
              <w:jc w:val="center"/>
              <w:rPr>
                <w:rFonts w:ascii="仿宋"/>
                <w:sz w:val="24"/>
              </w:rPr>
            </w:pPr>
            <w:r>
              <w:rPr>
                <w:rFonts w:ascii="仿宋"/>
                <w:sz w:val="24"/>
              </w:rPr>
              <w:t>20.83</w:t>
            </w:r>
          </w:p>
        </w:tc>
        <w:tc>
          <w:tcPr>
            <w:tcW w:w="993" w:type="dxa"/>
            <w:tcBorders>
              <w:top w:val="single" w:sz="8" w:space="0" w:color="000000"/>
              <w:left w:val="single" w:sz="8" w:space="0" w:color="000000"/>
              <w:bottom w:val="single" w:sz="8" w:space="0" w:color="000000"/>
            </w:tcBorders>
          </w:tcPr>
          <w:p>
            <w:pPr>
              <w:pStyle w:val="TableParagraph"/>
              <w:spacing w:before="153"/>
              <w:ind w:left="54" w:right="23"/>
              <w:jc w:val="center"/>
              <w:rPr>
                <w:rFonts w:ascii="仿宋"/>
                <w:sz w:val="24"/>
              </w:rPr>
            </w:pPr>
            <w:r>
              <w:rPr>
                <w:rFonts w:ascii="仿宋"/>
                <w:sz w:val="24"/>
              </w:rPr>
              <w:t>18.45</w:t>
            </w:r>
          </w:p>
        </w:tc>
      </w:tr>
      <w:tr>
        <w:trPr>
          <w:trHeight w:val="457"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76"/>
              <w:ind w:left="27"/>
              <w:jc w:val="center"/>
              <w:rPr>
                <w:rFonts w:ascii="仿宋"/>
                <w:sz w:val="24"/>
              </w:rPr>
            </w:pPr>
            <w:r>
              <w:rPr>
                <w:rFonts w:ascii="仿宋"/>
                <w:sz w:val="24"/>
              </w:rPr>
              <w:t>5</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6"/>
              <w:ind w:left="113"/>
              <w:rPr>
                <w:rFonts w:ascii="仿宋" w:eastAsia="仿宋" w:hint="eastAsia"/>
                <w:sz w:val="24"/>
              </w:rPr>
            </w:pPr>
            <w:r>
              <w:rPr>
                <w:rFonts w:ascii="仿宋" w:eastAsia="仿宋" w:hint="eastAsia"/>
                <w:sz w:val="24"/>
              </w:rPr>
              <w:t>生均校内实践教学工位数</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6"/>
              <w:ind w:right="171"/>
              <w:jc w:val="right"/>
              <w:rPr>
                <w:rFonts w:ascii="仿宋" w:eastAsia="仿宋" w:hint="eastAsia"/>
                <w:sz w:val="24"/>
              </w:rPr>
            </w:pPr>
            <w:r>
              <w:rPr>
                <w:rFonts w:ascii="仿宋" w:eastAsia="仿宋" w:hint="eastAsia"/>
                <w:sz w:val="24"/>
              </w:rPr>
              <w:t>个/生</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6"/>
              <w:ind w:left="52" w:right="27"/>
              <w:jc w:val="center"/>
              <w:rPr>
                <w:rFonts w:ascii="仿宋"/>
                <w:sz w:val="24"/>
              </w:rPr>
            </w:pPr>
            <w:r>
              <w:rPr>
                <w:rFonts w:ascii="仿宋"/>
                <w:sz w:val="24"/>
              </w:rPr>
              <w:t>0.59</w:t>
            </w:r>
          </w:p>
        </w:tc>
        <w:tc>
          <w:tcPr>
            <w:tcW w:w="993" w:type="dxa"/>
            <w:tcBorders>
              <w:top w:val="single" w:sz="8" w:space="0" w:color="000000"/>
              <w:left w:val="single" w:sz="8" w:space="0" w:color="000000"/>
              <w:bottom w:val="single" w:sz="8" w:space="0" w:color="000000"/>
            </w:tcBorders>
          </w:tcPr>
          <w:p>
            <w:pPr>
              <w:pStyle w:val="TableParagraph"/>
              <w:spacing w:before="76"/>
              <w:ind w:left="54" w:right="23"/>
              <w:jc w:val="center"/>
              <w:rPr>
                <w:rFonts w:ascii="仿宋"/>
                <w:sz w:val="24"/>
              </w:rPr>
            </w:pPr>
            <w:r>
              <w:rPr>
                <w:rFonts w:ascii="仿宋"/>
                <w:sz w:val="24"/>
              </w:rPr>
              <w:t>0.65</w:t>
            </w:r>
          </w:p>
        </w:tc>
      </w:tr>
      <w:tr>
        <w:trPr>
          <w:trHeight w:val="457"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75"/>
              <w:ind w:left="27"/>
              <w:jc w:val="center"/>
              <w:rPr>
                <w:rFonts w:ascii="仿宋"/>
                <w:sz w:val="24"/>
              </w:rPr>
            </w:pPr>
            <w:r>
              <w:rPr>
                <w:rFonts w:ascii="仿宋"/>
                <w:sz w:val="24"/>
              </w:rPr>
              <w:t>6</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5"/>
              <w:ind w:left="113"/>
              <w:rPr>
                <w:rFonts w:ascii="仿宋" w:eastAsia="仿宋" w:hint="eastAsia"/>
                <w:sz w:val="24"/>
              </w:rPr>
            </w:pPr>
            <w:r>
              <w:rPr>
                <w:rFonts w:ascii="仿宋" w:eastAsia="仿宋" w:hint="eastAsia"/>
                <w:sz w:val="24"/>
              </w:rPr>
              <w:t>校园网主干最大带宽</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5"/>
              <w:ind w:right="231"/>
              <w:jc w:val="right"/>
              <w:rPr>
                <w:rFonts w:ascii="仿宋"/>
                <w:sz w:val="24"/>
              </w:rPr>
            </w:pPr>
            <w:r>
              <w:rPr>
                <w:rFonts w:ascii="仿宋"/>
                <w:sz w:val="24"/>
              </w:rPr>
              <w:t>Mbps</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5"/>
              <w:ind w:left="52" w:right="27"/>
              <w:jc w:val="center"/>
              <w:rPr>
                <w:rFonts w:ascii="仿宋"/>
                <w:sz w:val="24"/>
              </w:rPr>
            </w:pPr>
            <w:r>
              <w:rPr>
                <w:rFonts w:ascii="仿宋"/>
                <w:sz w:val="24"/>
              </w:rPr>
              <w:t>1000</w:t>
            </w:r>
          </w:p>
        </w:tc>
        <w:tc>
          <w:tcPr>
            <w:tcW w:w="993" w:type="dxa"/>
            <w:tcBorders>
              <w:top w:val="single" w:sz="8" w:space="0" w:color="000000"/>
              <w:left w:val="single" w:sz="8" w:space="0" w:color="000000"/>
              <w:bottom w:val="single" w:sz="8" w:space="0" w:color="000000"/>
            </w:tcBorders>
          </w:tcPr>
          <w:p>
            <w:pPr>
              <w:pStyle w:val="TableParagraph"/>
              <w:spacing w:before="75"/>
              <w:ind w:left="54" w:right="23"/>
              <w:jc w:val="center"/>
              <w:rPr>
                <w:rFonts w:ascii="仿宋"/>
                <w:sz w:val="24"/>
              </w:rPr>
            </w:pPr>
            <w:r>
              <w:rPr>
                <w:rFonts w:ascii="仿宋"/>
                <w:sz w:val="24"/>
              </w:rPr>
              <w:t>10000</w:t>
            </w:r>
          </w:p>
        </w:tc>
      </w:tr>
      <w:tr>
        <w:trPr>
          <w:trHeight w:val="489"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70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rPr>
                <w:b/>
                <w:sz w:val="29"/>
              </w:rPr>
            </w:pPr>
          </w:p>
          <w:p>
            <w:pPr>
              <w:pStyle w:val="TableParagraph"/>
              <w:ind w:left="27"/>
              <w:jc w:val="center"/>
              <w:rPr>
                <w:rFonts w:ascii="仿宋"/>
                <w:sz w:val="24"/>
              </w:rPr>
            </w:pPr>
            <w:r>
              <w:rPr>
                <w:rFonts w:ascii="仿宋"/>
                <w:sz w:val="24"/>
              </w:rPr>
              <w:t>7</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91"/>
              <w:ind w:left="113"/>
              <w:rPr>
                <w:rFonts w:ascii="仿宋" w:eastAsia="仿宋" w:hint="eastAsia"/>
                <w:sz w:val="24"/>
              </w:rPr>
            </w:pPr>
            <w:r>
              <w:rPr>
                <w:rFonts w:ascii="仿宋" w:eastAsia="仿宋" w:hint="eastAsia"/>
                <w:sz w:val="24"/>
              </w:rPr>
              <w:t>教学计划内课程总数</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91"/>
              <w:ind w:left="29"/>
              <w:jc w:val="center"/>
              <w:rPr>
                <w:rFonts w:ascii="仿宋" w:eastAsia="仿宋" w:hint="eastAsia"/>
                <w:sz w:val="24"/>
              </w:rPr>
            </w:pPr>
            <w:r>
              <w:rPr>
                <w:rFonts w:ascii="仿宋" w:eastAsia="仿宋" w:hint="eastAsia"/>
                <w:sz w:val="24"/>
              </w:rPr>
              <w:t>门</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91"/>
              <w:ind w:left="52" w:right="27"/>
              <w:jc w:val="center"/>
              <w:rPr>
                <w:rFonts w:ascii="仿宋"/>
                <w:sz w:val="24"/>
              </w:rPr>
            </w:pPr>
            <w:r>
              <w:rPr>
                <w:rFonts w:ascii="仿宋"/>
                <w:sz w:val="24"/>
              </w:rPr>
              <w:t>664</w:t>
            </w:r>
          </w:p>
        </w:tc>
        <w:tc>
          <w:tcPr>
            <w:tcW w:w="993" w:type="dxa"/>
            <w:tcBorders>
              <w:top w:val="single" w:sz="8" w:space="0" w:color="000000"/>
              <w:left w:val="single" w:sz="8" w:space="0" w:color="000000"/>
              <w:bottom w:val="single" w:sz="8" w:space="0" w:color="000000"/>
            </w:tcBorders>
          </w:tcPr>
          <w:p>
            <w:pPr>
              <w:pStyle w:val="TableParagraph"/>
              <w:spacing w:before="91"/>
              <w:ind w:left="54" w:right="23"/>
              <w:jc w:val="center"/>
              <w:rPr>
                <w:rFonts w:ascii="仿宋"/>
                <w:sz w:val="24"/>
              </w:rPr>
            </w:pPr>
            <w:r>
              <w:rPr>
                <w:rFonts w:ascii="仿宋"/>
                <w:sz w:val="24"/>
              </w:rPr>
              <w:t>743</w:t>
            </w:r>
          </w:p>
        </w:tc>
      </w:tr>
      <w:tr>
        <w:trPr>
          <w:trHeight w:val="539"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703" w:type="dxa"/>
            <w:vMerge/>
            <w:tcBorders>
              <w:top w:val="nil"/>
              <w:left w:val="single" w:sz="8" w:space="0" w:color="000000"/>
              <w:bottom w:val="single" w:sz="8" w:space="0" w:color="000000"/>
              <w:right w:val="single" w:sz="8" w:space="0" w:color="000000"/>
            </w:tcBorders>
          </w:tcPr>
          <w:p>
            <w:pPr>
              <w:rPr>
                <w:sz w:val="2"/>
                <w:szCs w:val="2"/>
              </w:rPr>
            </w:pP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117"/>
              <w:ind w:left="353"/>
              <w:rPr>
                <w:rFonts w:ascii="仿宋" w:eastAsia="仿宋" w:hint="eastAsia"/>
                <w:sz w:val="24"/>
              </w:rPr>
            </w:pPr>
            <w:r>
              <w:rPr>
                <w:rFonts w:ascii="仿宋" w:eastAsia="仿宋" w:hint="eastAsia"/>
                <w:sz w:val="24"/>
              </w:rPr>
              <w:t>其中：线上开设课程数</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17"/>
              <w:ind w:left="29"/>
              <w:jc w:val="center"/>
              <w:rPr>
                <w:rFonts w:ascii="仿宋" w:eastAsia="仿宋" w:hint="eastAsia"/>
                <w:sz w:val="24"/>
              </w:rPr>
            </w:pPr>
            <w:r>
              <w:rPr>
                <w:rFonts w:ascii="仿宋" w:eastAsia="仿宋" w:hint="eastAsia"/>
                <w:sz w:val="24"/>
              </w:rPr>
              <w:t>门</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17"/>
              <w:ind w:left="52" w:right="27"/>
              <w:jc w:val="center"/>
              <w:rPr>
                <w:rFonts w:ascii="仿宋"/>
                <w:sz w:val="24"/>
              </w:rPr>
            </w:pPr>
            <w:r>
              <w:rPr>
                <w:rFonts w:ascii="仿宋"/>
                <w:sz w:val="24"/>
              </w:rPr>
              <w:t>317</w:t>
            </w:r>
          </w:p>
        </w:tc>
        <w:tc>
          <w:tcPr>
            <w:tcW w:w="993" w:type="dxa"/>
            <w:tcBorders>
              <w:top w:val="single" w:sz="8" w:space="0" w:color="000000"/>
              <w:left w:val="single" w:sz="8" w:space="0" w:color="000000"/>
              <w:bottom w:val="single" w:sz="8" w:space="0" w:color="000000"/>
            </w:tcBorders>
          </w:tcPr>
          <w:p>
            <w:pPr>
              <w:pStyle w:val="TableParagraph"/>
              <w:spacing w:before="117"/>
              <w:ind w:left="54" w:right="23"/>
              <w:jc w:val="center"/>
              <w:rPr>
                <w:rFonts w:ascii="仿宋"/>
                <w:sz w:val="24"/>
              </w:rPr>
            </w:pPr>
            <w:r>
              <w:rPr>
                <w:rFonts w:ascii="仿宋"/>
                <w:sz w:val="24"/>
              </w:rPr>
              <w:t>379</w:t>
            </w:r>
          </w:p>
        </w:tc>
      </w:tr>
      <w:tr>
        <w:trPr>
          <w:trHeight w:val="1866"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7230" w:type="dxa"/>
            <w:gridSpan w:val="5"/>
            <w:tcBorders>
              <w:top w:val="single" w:sz="8" w:space="0" w:color="000000"/>
              <w:left w:val="single" w:sz="8" w:space="0" w:color="000000"/>
            </w:tcBorders>
          </w:tcPr>
          <w:p>
            <w:pPr>
              <w:pStyle w:val="TableParagraph"/>
              <w:spacing w:line="307" w:lineRule="exact"/>
              <w:ind w:left="112"/>
              <w:rPr>
                <w:rFonts w:ascii="仿宋" w:eastAsia="仿宋" w:hint="eastAsia"/>
                <w:sz w:val="24"/>
              </w:rPr>
            </w:pPr>
            <w:r>
              <w:rPr>
                <w:rFonts w:ascii="仿宋" w:eastAsia="仿宋" w:hint="eastAsia"/>
                <w:sz w:val="24"/>
              </w:rPr>
              <w:t>学院类别(单选)：综合、师范、民族院校()</w:t>
            </w:r>
          </w:p>
          <w:p>
            <w:pPr>
              <w:pStyle w:val="TableParagraph"/>
              <w:spacing w:line="242" w:lineRule="auto" w:before="4"/>
              <w:ind w:left="2272" w:right="2640"/>
              <w:rPr>
                <w:rFonts w:ascii="仿宋" w:hAnsi="仿宋" w:eastAsia="仿宋" w:hint="eastAsia"/>
                <w:sz w:val="24"/>
              </w:rPr>
            </w:pPr>
            <w:r>
              <w:rPr>
                <w:rFonts w:ascii="仿宋" w:hAnsi="仿宋" w:eastAsia="仿宋" w:hint="eastAsia"/>
                <w:spacing w:val="-1"/>
                <w:sz w:val="24"/>
              </w:rPr>
              <w:t>工科、农、林院校(</w:t>
            </w:r>
            <w:r>
              <w:rPr>
                <w:rFonts w:ascii="Arial" w:hAnsi="Arial" w:eastAsia="Arial"/>
                <w:spacing w:val="-6"/>
                <w:sz w:val="24"/>
              </w:rPr>
              <w:t>√</w:t>
            </w:r>
            <w:r>
              <w:rPr>
                <w:rFonts w:ascii="仿宋" w:hAnsi="仿宋" w:eastAsia="仿宋" w:hint="eastAsia"/>
                <w:spacing w:val="-6"/>
                <w:sz w:val="24"/>
              </w:rPr>
              <w:t>) </w:t>
            </w:r>
            <w:r>
              <w:rPr>
                <w:rFonts w:ascii="仿宋" w:hAnsi="仿宋" w:eastAsia="仿宋" w:hint="eastAsia"/>
                <w:sz w:val="24"/>
              </w:rPr>
              <w:t>医学院校()</w:t>
            </w:r>
          </w:p>
          <w:p>
            <w:pPr>
              <w:pStyle w:val="TableParagraph"/>
              <w:spacing w:line="242" w:lineRule="auto" w:before="3"/>
              <w:ind w:left="2272" w:right="2170"/>
              <w:rPr>
                <w:rFonts w:ascii="仿宋" w:eastAsia="仿宋" w:hint="eastAsia"/>
                <w:sz w:val="24"/>
              </w:rPr>
            </w:pPr>
            <w:r>
              <w:rPr>
                <w:rFonts w:ascii="仿宋" w:eastAsia="仿宋" w:hint="eastAsia"/>
                <w:spacing w:val="-3"/>
                <w:sz w:val="24"/>
              </w:rPr>
              <w:t>语文、财经、政法院校( ) </w:t>
            </w:r>
            <w:r>
              <w:rPr>
                <w:rFonts w:ascii="仿宋" w:eastAsia="仿宋" w:hint="eastAsia"/>
                <w:sz w:val="24"/>
              </w:rPr>
              <w:t>体育院校()</w:t>
            </w:r>
          </w:p>
          <w:p>
            <w:pPr>
              <w:pStyle w:val="TableParagraph"/>
              <w:spacing w:line="287" w:lineRule="exact" w:before="3"/>
              <w:ind w:left="2272"/>
              <w:rPr>
                <w:rFonts w:ascii="仿宋" w:eastAsia="仿宋" w:hint="eastAsia"/>
                <w:sz w:val="24"/>
              </w:rPr>
            </w:pPr>
            <w:r>
              <w:rPr>
                <w:rFonts w:ascii="仿宋" w:eastAsia="仿宋" w:hint="eastAsia"/>
                <w:sz w:val="24"/>
              </w:rPr>
              <w:t>艺术院校()</w:t>
            </w:r>
          </w:p>
        </w:tc>
      </w:tr>
    </w:tbl>
    <w:p>
      <w:pPr>
        <w:spacing w:after="0" w:line="287" w:lineRule="exact"/>
        <w:rPr>
          <w:rFonts w:ascii="仿宋" w:eastAsia="仿宋" w:hint="eastAsia"/>
          <w:sz w:val="24"/>
        </w:rPr>
        <w:sectPr>
          <w:footerReference w:type="default" r:id="rId55"/>
          <w:pgSz w:w="11910" w:h="16840"/>
          <w:pgMar w:footer="1241" w:header="780" w:top="1260" w:bottom="1440" w:left="0" w:right="0"/>
          <w:pgNumType w:start="30"/>
        </w:sectPr>
      </w:pPr>
    </w:p>
    <w:p>
      <w:pPr>
        <w:pStyle w:val="BodyText"/>
        <w:spacing w:before="1"/>
        <w:rPr>
          <w:b/>
          <w:sz w:val="17"/>
        </w:rPr>
      </w:pPr>
    </w:p>
    <w:p>
      <w:pPr>
        <w:pStyle w:val="Heading2"/>
        <w:numPr>
          <w:ilvl w:val="1"/>
          <w:numId w:val="3"/>
        </w:numPr>
        <w:tabs>
          <w:tab w:pos="2471" w:val="left" w:leader="none"/>
          <w:tab w:pos="2472" w:val="left" w:leader="none"/>
        </w:tabs>
        <w:spacing w:line="240" w:lineRule="auto" w:before="78" w:after="0"/>
        <w:ind w:left="2472" w:right="0" w:hanging="574"/>
        <w:jc w:val="left"/>
      </w:pPr>
      <w:bookmarkStart w:name="_bookmark42" w:id="115"/>
      <w:bookmarkEnd w:id="115"/>
      <w:r>
        <w:rPr>
          <w:b w:val="0"/>
        </w:rPr>
      </w:r>
      <w:bookmarkStart w:name="_bookmark42" w:id="116"/>
      <w:bookmarkEnd w:id="116"/>
      <w:r>
        <w:rPr/>
        <w:t>立德树人</w:t>
      </w:r>
    </w:p>
    <w:p>
      <w:pPr>
        <w:pStyle w:val="BodyText"/>
        <w:spacing w:before="6"/>
        <w:rPr>
          <w:rFonts w:ascii="黑体"/>
          <w:b/>
        </w:rPr>
      </w:pPr>
    </w:p>
    <w:p>
      <w:pPr>
        <w:pStyle w:val="Heading2"/>
        <w:numPr>
          <w:ilvl w:val="2"/>
          <w:numId w:val="3"/>
        </w:numPr>
        <w:tabs>
          <w:tab w:pos="2743" w:val="left" w:leader="none"/>
          <w:tab w:pos="2744" w:val="left" w:leader="none"/>
        </w:tabs>
        <w:spacing w:line="240" w:lineRule="auto" w:before="0" w:after="0"/>
        <w:ind w:left="2743" w:right="0" w:hanging="846"/>
        <w:jc w:val="left"/>
      </w:pPr>
      <w:bookmarkStart w:name="3.2.1  学习贯彻全国教育大会精神" w:id="117"/>
      <w:bookmarkEnd w:id="117"/>
      <w:r>
        <w:rPr>
          <w:b w:val="0"/>
        </w:rPr>
      </w:r>
      <w:bookmarkStart w:name="_bookmark43" w:id="118"/>
      <w:bookmarkEnd w:id="118"/>
      <w:r>
        <w:rPr>
          <w:b w:val="0"/>
        </w:rPr>
      </w:r>
      <w:bookmarkStart w:name="_bookmark43" w:id="119"/>
      <w:bookmarkEnd w:id="119"/>
      <w:r>
        <w:rPr/>
        <w:t>学习贯彻全国教育大会精神</w:t>
      </w:r>
    </w:p>
    <w:p>
      <w:pPr>
        <w:pStyle w:val="BodyText"/>
        <w:spacing w:before="9"/>
        <w:rPr>
          <w:rFonts w:ascii="黑体"/>
          <w:b/>
        </w:rPr>
      </w:pPr>
    </w:p>
    <w:p>
      <w:pPr>
        <w:pStyle w:val="BodyText"/>
        <w:spacing w:line="364" w:lineRule="auto"/>
        <w:ind w:left="1418" w:right="1453" w:firstLine="480"/>
        <w:jc w:val="both"/>
      </w:pPr>
      <w:r>
        <w:rPr>
          <w:spacing w:val="-6"/>
        </w:rPr>
        <w:t>全国教育大会是一次划时代、历史性的会议，是一次时机好、规格高、影响大的会</w:t>
      </w:r>
      <w:r>
        <w:rPr>
          <w:spacing w:val="-9"/>
        </w:rPr>
        <w:t>议，凸显了教育在党和国家事业中的基础性、先导性、全局性地位，对动员全党全国全</w:t>
      </w:r>
      <w:r>
        <w:rPr>
          <w:spacing w:val="-8"/>
        </w:rPr>
        <w:t>社会加快推进教育现代化、建设教育强国、办好人民满意的教育具有重大现实意义和深</w:t>
      </w:r>
      <w:r>
        <w:rPr/>
        <w:t>远历史影响。</w:t>
      </w:r>
    </w:p>
    <w:p>
      <w:pPr>
        <w:pStyle w:val="BodyText"/>
        <w:spacing w:line="364" w:lineRule="auto" w:before="3"/>
        <w:ind w:left="1418" w:right="1453" w:firstLine="480"/>
        <w:jc w:val="both"/>
      </w:pPr>
      <w:r>
        <w:rPr>
          <w:spacing w:val="-6"/>
        </w:rPr>
        <w:t>学校的任务就是深入贯彻落实全国教育大会精神，加快学校教育事业发展步伐，加</w:t>
      </w:r>
      <w:r>
        <w:rPr>
          <w:spacing w:val="-8"/>
        </w:rPr>
        <w:t>速建设国内一流、国际有影响的开放和谐美丽幸福新化院。当前和今后一个时期，学校</w:t>
      </w:r>
      <w:r>
        <w:rPr>
          <w:spacing w:val="-7"/>
        </w:rPr>
        <w:t>将全面实施新时代立德树人工程，着力加强新时代教师队伍建设，加快推进高水平职业</w:t>
      </w:r>
      <w:r>
        <w:rPr>
          <w:spacing w:val="-10"/>
        </w:rPr>
        <w:t>教育建设，深化教育综合改革，着力提升服务经济社会发展能力，切实加强党的领导和</w:t>
      </w:r>
      <w:r>
        <w:rPr>
          <w:spacing w:val="-9"/>
        </w:rPr>
        <w:t>党的建设，深入推进新时代学校教育事业快速健康发展。全校上下将以时不我待、只争</w:t>
      </w:r>
      <w:r>
        <w:rPr>
          <w:spacing w:val="-6"/>
        </w:rPr>
        <w:t>朝夕的精神状态和攻坚克难、拼搏奋进的奋斗姿态，以树人为核心，以立德为根本，着</w:t>
      </w:r>
      <w:r>
        <w:rPr/>
        <w:t>力推进学校教育事业高质量发展。</w:t>
      </w:r>
    </w:p>
    <w:p>
      <w:pPr>
        <w:pStyle w:val="BodyText"/>
        <w:spacing w:line="364" w:lineRule="auto" w:before="4"/>
        <w:ind w:left="1418" w:right="1365" w:firstLine="480"/>
      </w:pPr>
      <w:r>
        <w:rPr/>
        <w:drawing>
          <wp:anchor distT="0" distB="0" distL="0" distR="0" allowOverlap="1" layoutInCell="1" locked="0" behindDoc="1" simplePos="0" relativeHeight="244358144">
            <wp:simplePos x="0" y="0"/>
            <wp:positionH relativeFrom="page">
              <wp:posOffset>1773935</wp:posOffset>
            </wp:positionH>
            <wp:positionV relativeFrom="paragraph">
              <wp:posOffset>1756029</wp:posOffset>
            </wp:positionV>
            <wp:extent cx="3988308" cy="2334768"/>
            <wp:effectExtent l="0" t="0" r="0" b="0"/>
            <wp:wrapNone/>
            <wp:docPr id="79" name="image44.jpeg"/>
            <wp:cNvGraphicFramePr>
              <a:graphicFrameLocks noChangeAspect="1"/>
            </wp:cNvGraphicFramePr>
            <a:graphic>
              <a:graphicData uri="http://schemas.openxmlformats.org/drawingml/2006/picture">
                <pic:pic>
                  <pic:nvPicPr>
                    <pic:cNvPr id="80" name="image44.jpeg"/>
                    <pic:cNvPicPr/>
                  </pic:nvPicPr>
                  <pic:blipFill>
                    <a:blip r:embed="rId56" cstate="print"/>
                    <a:stretch>
                      <a:fillRect/>
                    </a:stretch>
                  </pic:blipFill>
                  <pic:spPr>
                    <a:xfrm>
                      <a:off x="0" y="0"/>
                      <a:ext cx="3988308" cy="2334768"/>
                    </a:xfrm>
                    <a:prstGeom prst="rect">
                      <a:avLst/>
                    </a:prstGeom>
                  </pic:spPr>
                </pic:pic>
              </a:graphicData>
            </a:graphic>
          </wp:anchor>
        </w:drawing>
      </w:r>
      <w:r>
        <w:rPr/>
        <w:t>为更好的学习贯彻全国教育大会精神，学校组织开展了全国教育大会精神宣讲活</w:t>
      </w:r>
      <w:r>
        <w:rPr>
          <w:spacing w:val="-3"/>
        </w:rPr>
        <w:t>动，安排落实高质量、大规模的专题宣讲、讲座 </w:t>
      </w:r>
      <w:r>
        <w:rPr/>
        <w:t>37</w:t>
      </w:r>
      <w:r>
        <w:rPr>
          <w:spacing w:val="-8"/>
        </w:rPr>
        <w:t> 场次，真正将全国教育大会精神深</w:t>
      </w:r>
      <w:r>
        <w:rPr>
          <w:spacing w:val="-11"/>
        </w:rPr>
        <w:t>入人心，落到实处。全校师生以全国教育大会精神宣讲为起点，以高度的政治自觉、思</w:t>
      </w:r>
      <w:r>
        <w:rPr>
          <w:spacing w:val="-12"/>
        </w:rPr>
        <w:t>想自觉、行动自觉，切实抓好大会精神的学习宣传贯彻工作。切实把全国教育大会提出</w:t>
      </w:r>
      <w:r>
        <w:rPr>
          <w:spacing w:val="-13"/>
        </w:rPr>
        <w:t>的要求，在学校具体工作中进一步细化、实化、具体化，助推学校“建卓越、争一流、</w:t>
      </w:r>
      <w:r>
        <w:rPr/>
        <w:t>创优质”建设，推动学校各项工作再上新台阶。</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9"/>
        </w:rPr>
      </w:pPr>
    </w:p>
    <w:p>
      <w:pPr>
        <w:tabs>
          <w:tab w:pos="791" w:val="left" w:leader="none"/>
        </w:tabs>
        <w:spacing w:before="1"/>
        <w:ind w:left="0" w:right="19" w:firstLine="0"/>
        <w:jc w:val="center"/>
        <w:rPr>
          <w:b/>
          <w:sz w:val="21"/>
        </w:rPr>
      </w:pPr>
      <w:r>
        <w:rPr>
          <w:b/>
          <w:sz w:val="21"/>
        </w:rPr>
        <w:t>图</w:t>
      </w:r>
      <w:r>
        <w:rPr>
          <w:b/>
          <w:spacing w:val="-52"/>
          <w:sz w:val="21"/>
        </w:rPr>
        <w:t> </w:t>
      </w:r>
      <w:r>
        <w:rPr>
          <w:b/>
          <w:sz w:val="21"/>
        </w:rPr>
        <w:t>3-1</w:t>
        <w:tab/>
        <w:t>党委书记刘望向全体教职工宣讲全国教育大会精神</w:t>
      </w:r>
    </w:p>
    <w:p>
      <w:pPr>
        <w:spacing w:after="0"/>
        <w:jc w:val="center"/>
        <w:rPr>
          <w:sz w:val="21"/>
        </w:rPr>
        <w:sectPr>
          <w:pgSz w:w="11910" w:h="16840"/>
          <w:pgMar w:header="780" w:footer="1241" w:top="1260" w:bottom="1440" w:left="0" w:right="0"/>
        </w:sectPr>
      </w:pPr>
    </w:p>
    <w:p>
      <w:pPr>
        <w:pStyle w:val="BodyText"/>
        <w:spacing w:before="6"/>
        <w:rPr>
          <w:b/>
          <w:sz w:val="14"/>
        </w:rPr>
      </w:pPr>
    </w:p>
    <w:p>
      <w:pPr>
        <w:pStyle w:val="BodyText"/>
        <w:ind w:left="2776"/>
        <w:rPr>
          <w:sz w:val="20"/>
        </w:rPr>
      </w:pPr>
      <w:r>
        <w:rPr>
          <w:sz w:val="20"/>
        </w:rPr>
        <w:drawing>
          <wp:inline distT="0" distB="0" distL="0" distR="0">
            <wp:extent cx="4002389" cy="2312289"/>
            <wp:effectExtent l="0" t="0" r="0" b="0"/>
            <wp:docPr id="81" name="image45.jpeg"/>
            <wp:cNvGraphicFramePr>
              <a:graphicFrameLocks noChangeAspect="1"/>
            </wp:cNvGraphicFramePr>
            <a:graphic>
              <a:graphicData uri="http://schemas.openxmlformats.org/drawingml/2006/picture">
                <pic:pic>
                  <pic:nvPicPr>
                    <pic:cNvPr id="82" name="image45.jpeg"/>
                    <pic:cNvPicPr/>
                  </pic:nvPicPr>
                  <pic:blipFill>
                    <a:blip r:embed="rId57" cstate="print"/>
                    <a:stretch>
                      <a:fillRect/>
                    </a:stretch>
                  </pic:blipFill>
                  <pic:spPr>
                    <a:xfrm>
                      <a:off x="0" y="0"/>
                      <a:ext cx="4002389" cy="2312289"/>
                    </a:xfrm>
                    <a:prstGeom prst="rect">
                      <a:avLst/>
                    </a:prstGeom>
                  </pic:spPr>
                </pic:pic>
              </a:graphicData>
            </a:graphic>
          </wp:inline>
        </w:drawing>
      </w:r>
      <w:r>
        <w:rPr>
          <w:sz w:val="20"/>
        </w:rPr>
      </w:r>
    </w:p>
    <w:p>
      <w:pPr>
        <w:pStyle w:val="BodyText"/>
        <w:spacing w:before="8"/>
        <w:rPr>
          <w:b/>
          <w:sz w:val="6"/>
        </w:rPr>
      </w:pPr>
    </w:p>
    <w:p>
      <w:pPr>
        <w:tabs>
          <w:tab w:pos="789" w:val="left" w:leader="none"/>
        </w:tabs>
        <w:spacing w:before="69"/>
        <w:ind w:left="0" w:right="21" w:firstLine="0"/>
        <w:jc w:val="center"/>
        <w:rPr>
          <w:b/>
          <w:sz w:val="21"/>
        </w:rPr>
      </w:pPr>
      <w:r>
        <w:rPr>
          <w:b/>
          <w:sz w:val="21"/>
        </w:rPr>
        <w:t>图</w:t>
      </w:r>
      <w:r>
        <w:rPr>
          <w:b/>
          <w:spacing w:val="-55"/>
          <w:sz w:val="21"/>
        </w:rPr>
        <w:t> </w:t>
      </w:r>
      <w:r>
        <w:rPr>
          <w:b/>
          <w:sz w:val="21"/>
        </w:rPr>
        <w:t>3-2</w:t>
        <w:tab/>
        <w:t>校长王雄伟向全体学生宣讲全国教育大会精神</w:t>
      </w:r>
    </w:p>
    <w:p>
      <w:pPr>
        <w:pStyle w:val="BodyText"/>
        <w:spacing w:before="2"/>
        <w:rPr>
          <w:b/>
          <w:sz w:val="14"/>
        </w:rPr>
      </w:pPr>
    </w:p>
    <w:p>
      <w:pPr>
        <w:pStyle w:val="Heading2"/>
        <w:tabs>
          <w:tab w:pos="5812" w:val="left" w:leader="none"/>
        </w:tabs>
        <w:ind w:left="1898" w:firstLine="0"/>
      </w:pPr>
      <w:bookmarkStart w:name="【典型案例12】党建引领作用突出  喜获“全国党建工作示范高校”" w:id="120"/>
      <w:bookmarkEnd w:id="120"/>
      <w:r>
        <w:rPr>
          <w:b w:val="0"/>
        </w:rPr>
      </w:r>
      <w:bookmarkStart w:name="_bookmark44" w:id="121"/>
      <w:bookmarkEnd w:id="121"/>
      <w:r>
        <w:rPr>
          <w:b w:val="0"/>
        </w:rPr>
      </w:r>
      <w:r>
        <w:rPr/>
        <w:t>【典型案例</w:t>
      </w:r>
      <w:r>
        <w:rPr>
          <w:spacing w:val="-66"/>
        </w:rPr>
        <w:t> </w:t>
      </w:r>
      <w:r>
        <w:rPr/>
        <w:t>12】党建引领作用突出</w:t>
        <w:tab/>
        <w:t>喜获“全国党建工作示范高校”</w:t>
      </w:r>
    </w:p>
    <w:p>
      <w:pPr>
        <w:pStyle w:val="BodyText"/>
        <w:spacing w:before="6"/>
        <w:rPr>
          <w:rFonts w:ascii="黑体"/>
          <w:b/>
        </w:rPr>
      </w:pPr>
    </w:p>
    <w:p>
      <w:pPr>
        <w:pStyle w:val="BodyText"/>
        <w:spacing w:line="364" w:lineRule="auto" w:before="1"/>
        <w:ind w:left="1418" w:right="1454" w:firstLine="480"/>
      </w:pPr>
      <w:r>
        <w:rPr>
          <w:color w:val="3366FF"/>
          <w:spacing w:val="-10"/>
        </w:rPr>
        <w:t>近日，从教育部传来喜讯，湖南化工职业技术学院党委入选“全国党建工作示范高</w:t>
      </w:r>
      <w:r>
        <w:rPr>
          <w:color w:val="3366FF"/>
        </w:rPr>
        <w:t>校”之一，全国高职院校仅此一所。</w:t>
      </w:r>
    </w:p>
    <w:p>
      <w:pPr>
        <w:pStyle w:val="BodyText"/>
        <w:spacing w:line="364" w:lineRule="auto" w:before="1"/>
        <w:ind w:left="1418" w:right="1365" w:firstLine="480"/>
      </w:pPr>
      <w:r>
        <w:rPr>
          <w:color w:val="3366FF"/>
          <w:spacing w:val="-8"/>
        </w:rPr>
        <w:t>长期以来，学院党委以坚定的信念学习党的建设理论，做到把方向过硬；以科学的</w:t>
      </w:r>
      <w:r>
        <w:rPr>
          <w:color w:val="3366FF"/>
          <w:spacing w:val="-13"/>
        </w:rPr>
        <w:t>态度谋划党的建设工程，做到管大局过硬；以改革的精神创新党的建设机制，做到做决</w:t>
      </w:r>
      <w:r>
        <w:rPr>
          <w:color w:val="3366FF"/>
          <w:spacing w:val="-12"/>
        </w:rPr>
        <w:t>策过硬；以务实的作风落实党的建设目标，做到保落实过硬；以饱满的激情共享党的建</w:t>
      </w:r>
      <w:r>
        <w:rPr>
          <w:color w:val="3366FF"/>
          <w:spacing w:val="-11"/>
        </w:rPr>
        <w:t>设成果，形成了党建和思想政治工作与人才培养工作同谋划、同部署，突出弘扬主人翁</w:t>
      </w:r>
      <w:r>
        <w:rPr>
          <w:color w:val="3366FF"/>
          <w:spacing w:val="-12"/>
        </w:rPr>
        <w:t>意识、奉献意识、责任意识、开放意识、创新意识、忧患意识等精神内核。充分发挥高</w:t>
      </w:r>
      <w:r>
        <w:rPr>
          <w:color w:val="3366FF"/>
          <w:spacing w:val="-13"/>
        </w:rPr>
        <w:t>校党委领导核心作用，牢牢掌握意识形态工作的主导权，认真落实立德树人根本任务， </w:t>
      </w:r>
      <w:r>
        <w:rPr>
          <w:color w:val="3366FF"/>
          <w:spacing w:val="-9"/>
        </w:rPr>
        <w:t>打造了一支“有激情、爱学习、讲规矩、敢担当”干部队伍，在全院营造了风清气正的政治生态。形成了党建工作的“五一”(形成一种好理念、建立一个好机制、培养一支</w:t>
      </w:r>
      <w:r>
        <w:rPr>
          <w:color w:val="3366FF"/>
          <w:spacing w:val="-15"/>
        </w:rPr>
        <w:t>好队伍、制定一套好方案、培育一种好文化)、“四有”(心中有个梦、心中有团火、心中有束光、心中有把尺)特色理念，充分发挥了党组织的战斗堡垒作用和党员的先锋模范作用。</w:t>
      </w:r>
    </w:p>
    <w:p>
      <w:pPr>
        <w:pStyle w:val="Heading2"/>
        <w:numPr>
          <w:ilvl w:val="2"/>
          <w:numId w:val="3"/>
        </w:numPr>
        <w:tabs>
          <w:tab w:pos="2743" w:val="left" w:leader="none"/>
          <w:tab w:pos="2744" w:val="left" w:leader="none"/>
        </w:tabs>
        <w:spacing w:line="240" w:lineRule="auto" w:before="6" w:after="0"/>
        <w:ind w:left="2743" w:right="0" w:hanging="846"/>
        <w:jc w:val="left"/>
      </w:pPr>
      <w:bookmarkStart w:name="3.2.2  思想政治教育" w:id="122"/>
      <w:bookmarkEnd w:id="122"/>
      <w:r>
        <w:rPr>
          <w:b w:val="0"/>
        </w:rPr>
      </w:r>
      <w:bookmarkStart w:name="_bookmark45" w:id="123"/>
      <w:bookmarkEnd w:id="123"/>
      <w:r>
        <w:rPr>
          <w:b w:val="0"/>
        </w:rPr>
      </w:r>
      <w:bookmarkStart w:name="_bookmark45" w:id="124"/>
      <w:bookmarkEnd w:id="124"/>
      <w:r>
        <w:rPr/>
        <w:t>思想政治教育</w:t>
      </w:r>
    </w:p>
    <w:p>
      <w:pPr>
        <w:pStyle w:val="BodyText"/>
        <w:spacing w:before="9"/>
        <w:rPr>
          <w:rFonts w:ascii="黑体"/>
          <w:b/>
        </w:rPr>
      </w:pPr>
    </w:p>
    <w:p>
      <w:pPr>
        <w:pStyle w:val="BodyText"/>
        <w:spacing w:line="364" w:lineRule="auto"/>
        <w:ind w:left="1418" w:right="1453" w:firstLine="480"/>
        <w:jc w:val="both"/>
      </w:pPr>
      <w:r>
        <w:rPr>
          <w:spacing w:val="-6"/>
        </w:rPr>
        <w:t>学院坚持以社会主义核心价值体系为引领，以理想信念和道德品质教育为核心，以石化企业文化和中国传统文化教育为特色，以思想政治教育课题研究和大学生思想道德</w:t>
      </w:r>
      <w:r>
        <w:rPr>
          <w:spacing w:val="-7"/>
        </w:rPr>
        <w:t>素质提升工程项目建设为引领，以“三全”德育工作体系建设为抓手，以校园文化活动</w:t>
      </w:r>
      <w:r>
        <w:rPr/>
        <w:t>建设为载体，不断创新思想政治理论教学方式方法，取得了较好的成效。</w:t>
      </w:r>
    </w:p>
    <w:p>
      <w:pPr>
        <w:pStyle w:val="BodyText"/>
        <w:spacing w:before="3"/>
        <w:ind w:left="1898"/>
      </w:pPr>
      <w:r>
        <w:rPr/>
        <w:t>一是加强教学研究，勤于探索和实践。合理调整了思政课教学安排，充分利用学院</w:t>
      </w:r>
    </w:p>
    <w:p>
      <w:pPr>
        <w:spacing w:after="0"/>
        <w:sectPr>
          <w:pgSz w:w="11910" w:h="16840"/>
          <w:pgMar w:header="780" w:footer="1241" w:top="1260" w:bottom="1440" w:left="0" w:right="0"/>
        </w:sectPr>
      </w:pPr>
    </w:p>
    <w:p>
      <w:pPr>
        <w:pStyle w:val="BodyText"/>
        <w:rPr>
          <w:sz w:val="12"/>
        </w:rPr>
      </w:pPr>
    </w:p>
    <w:p>
      <w:pPr>
        <w:pStyle w:val="BodyText"/>
        <w:spacing w:line="364" w:lineRule="auto" w:before="66"/>
        <w:ind w:left="1418" w:right="1334"/>
      </w:pPr>
      <w:r>
        <w:rPr>
          <w:spacing w:val="-14"/>
        </w:rPr>
        <w:t>思政课部现有教师资源，加大教学改革力度，进一步加强实践教学环节，联系生活实际， </w:t>
      </w:r>
      <w:r>
        <w:rPr/>
        <w:t>注重养成训练，增强教学的针对性和实效性。</w:t>
      </w:r>
    </w:p>
    <w:p>
      <w:pPr>
        <w:pStyle w:val="BodyText"/>
        <w:spacing w:line="364" w:lineRule="auto" w:before="1"/>
        <w:ind w:left="1418" w:right="1454" w:firstLine="480"/>
        <w:jc w:val="both"/>
      </w:pPr>
      <w:r>
        <w:rPr>
          <w:spacing w:val="-5"/>
        </w:rPr>
        <w:t>二是组织教师认真思考和研究大学生思想政治教育的方式、方法和手段，尤其是思</w:t>
      </w:r>
      <w:r>
        <w:rPr>
          <w:spacing w:val="-7"/>
        </w:rPr>
        <w:t>想政治理论课的专题教学，大力推进思想道德修养与法律基础课的专题化教学改革、实</w:t>
      </w:r>
      <w:r>
        <w:rPr>
          <w:spacing w:val="-10"/>
        </w:rPr>
        <w:t>践性教学、案例教学及其模式的研究，以教研课题或项目研究为载体，发挥教学科研工</w:t>
      </w:r>
      <w:r>
        <w:rPr/>
        <w:t>作对提升教学质量的促进作用。</w:t>
      </w:r>
    </w:p>
    <w:p>
      <w:pPr>
        <w:pStyle w:val="BodyText"/>
        <w:spacing w:line="364" w:lineRule="auto" w:before="3"/>
        <w:ind w:left="1418" w:right="1454" w:firstLine="480"/>
        <w:jc w:val="both"/>
      </w:pPr>
      <w:r>
        <w:rPr>
          <w:spacing w:val="-9"/>
        </w:rPr>
        <w:t>三是协同学工、招生就业、团委、宣传、组织、保卫等部门做好大学生思想政治教</w:t>
      </w:r>
      <w:r>
        <w:rPr>
          <w:spacing w:val="-11"/>
        </w:rPr>
        <w:t>育、就业创业教育、心理健康教育、安全教育、大学生入党积极分子培训等工作；对大</w:t>
      </w:r>
      <w:r>
        <w:rPr>
          <w:spacing w:val="-8"/>
        </w:rPr>
        <w:t>学生就业创业指导课、心理健康教育课、安全教育的督导与教学管理，多人次参与学院</w:t>
      </w:r>
      <w:r>
        <w:rPr>
          <w:spacing w:val="-6"/>
        </w:rPr>
        <w:t>组织部及二级学院党总支对学生党员发展对象、入党积极分子的党课教学与培训，协同</w:t>
      </w:r>
      <w:r>
        <w:rPr>
          <w:spacing w:val="-5"/>
        </w:rPr>
        <w:t>院团委指导一些社团的工作并指导大学生社会实践活动，协同招生就业指导大学生职业</w:t>
      </w:r>
      <w:r>
        <w:rPr/>
        <w:t>生涯规划等。</w:t>
      </w:r>
    </w:p>
    <w:p>
      <w:pPr>
        <w:pStyle w:val="Heading2"/>
        <w:numPr>
          <w:ilvl w:val="2"/>
          <w:numId w:val="3"/>
        </w:numPr>
        <w:tabs>
          <w:tab w:pos="2743" w:val="left" w:leader="none"/>
          <w:tab w:pos="2744" w:val="left" w:leader="none"/>
        </w:tabs>
        <w:spacing w:line="240" w:lineRule="auto" w:before="3" w:after="0"/>
        <w:ind w:left="2743" w:right="0" w:hanging="846"/>
        <w:jc w:val="left"/>
      </w:pPr>
      <w:bookmarkStart w:name="3.2.3  课程思政" w:id="125"/>
      <w:bookmarkEnd w:id="125"/>
      <w:r>
        <w:rPr>
          <w:b w:val="0"/>
        </w:rPr>
      </w:r>
      <w:bookmarkStart w:name="_bookmark46" w:id="126"/>
      <w:bookmarkEnd w:id="126"/>
      <w:r>
        <w:rPr>
          <w:b w:val="0"/>
        </w:rPr>
      </w:r>
      <w:bookmarkStart w:name="_bookmark46" w:id="127"/>
      <w:bookmarkEnd w:id="127"/>
      <w:r>
        <w:rPr/>
        <w:t>课程思政</w:t>
      </w:r>
    </w:p>
    <w:p>
      <w:pPr>
        <w:pStyle w:val="BodyText"/>
        <w:spacing w:before="7"/>
        <w:rPr>
          <w:rFonts w:ascii="黑体"/>
          <w:b/>
        </w:rPr>
      </w:pPr>
    </w:p>
    <w:p>
      <w:pPr>
        <w:pStyle w:val="BodyText"/>
        <w:spacing w:line="364" w:lineRule="auto"/>
        <w:ind w:left="1418" w:right="1334" w:firstLine="480"/>
      </w:pPr>
      <w:r>
        <w:rPr/>
        <w:t>切实落实课程思政教学要求，开展了全体教师课程思政意识强化培训(期初和专项培训中作为主要内容、思政课、其他公共课与专业教研一起教研活动)；促进包括通识</w:t>
      </w:r>
      <w:r>
        <w:rPr>
          <w:spacing w:val="-16"/>
        </w:rPr>
        <w:t>课、专业课在内的各类课程与思政教育有机融合，挖掘和充实各类课程的思政教育资源。</w:t>
      </w:r>
      <w:r>
        <w:rPr>
          <w:spacing w:val="-4"/>
        </w:rPr>
        <w:t>鼓励开展思政课教师与其他课程教师共同上课活动，将思政课教学内容融入其他课程的</w:t>
      </w:r>
      <w:r>
        <w:rPr>
          <w:spacing w:val="-10"/>
        </w:rPr>
        <w:t>教学；优化更新专业人才培养课程体系和课程教学内容；将课程思政理念要求融入听课评价重要指标等。</w:t>
      </w:r>
    </w:p>
    <w:p>
      <w:pPr>
        <w:pStyle w:val="Heading2"/>
        <w:spacing w:before="4"/>
        <w:ind w:left="1898" w:firstLine="0"/>
      </w:pPr>
      <w:bookmarkStart w:name="【典型案例13】双师课堂构建大思政教育教学体系" w:id="128"/>
      <w:bookmarkEnd w:id="128"/>
      <w:r>
        <w:rPr>
          <w:b w:val="0"/>
        </w:rPr>
      </w:r>
      <w:bookmarkStart w:name="_bookmark47" w:id="129"/>
      <w:bookmarkEnd w:id="129"/>
      <w:r>
        <w:rPr>
          <w:b w:val="0"/>
        </w:rPr>
      </w:r>
      <w:r>
        <w:rPr/>
        <w:t>【典型案例 13】双师课堂构建大思政教育教学体系</w:t>
      </w:r>
    </w:p>
    <w:p>
      <w:pPr>
        <w:pStyle w:val="BodyText"/>
        <w:spacing w:before="8"/>
        <w:rPr>
          <w:rFonts w:ascii="黑体"/>
          <w:b/>
        </w:rPr>
      </w:pPr>
    </w:p>
    <w:p>
      <w:pPr>
        <w:pStyle w:val="BodyText"/>
        <w:spacing w:line="364" w:lineRule="auto" w:before="1"/>
        <w:ind w:left="1418" w:right="1454" w:firstLine="480"/>
        <w:jc w:val="both"/>
      </w:pPr>
      <w:r>
        <w:rPr>
          <w:color w:val="3366FF"/>
          <w:spacing w:val="-5"/>
        </w:rPr>
        <w:t>高校思想政治理论课作为“天字第一号”课程，如何改变“配方”陈旧、“工艺” </w:t>
      </w:r>
      <w:r>
        <w:rPr>
          <w:color w:val="3366FF"/>
          <w:spacing w:val="-12"/>
        </w:rPr>
        <w:t>粗糙、“包装”不时尚的现象，是高校思政课面临的共同难题。思政课李菡老师和语文</w:t>
      </w:r>
      <w:r>
        <w:rPr>
          <w:color w:val="3366FF"/>
          <w:spacing w:val="-9"/>
        </w:rPr>
        <w:t>课邓滢老师以“以文化自信串起传统文化珍珠”为主题，共同为学生们带来了一堂的特</w:t>
      </w:r>
      <w:r>
        <w:rPr>
          <w:color w:val="3366FF"/>
        </w:rPr>
        <w:t>别的思政课。</w:t>
      </w:r>
    </w:p>
    <w:p>
      <w:pPr>
        <w:pStyle w:val="BodyText"/>
        <w:spacing w:before="2"/>
        <w:ind w:left="1898"/>
      </w:pPr>
      <w:r>
        <w:rPr>
          <w:color w:val="3366FF"/>
        </w:rPr>
        <w:t>课堂上两位老师以互相采访的方式，上半场从《诗经</w:t>
      </w:r>
      <w:r>
        <w:rPr>
          <w:rFonts w:ascii="Arial" w:hAnsi="Arial" w:eastAsia="Arial"/>
          <w:color w:val="3366FF"/>
        </w:rPr>
        <w:t>•</w:t>
      </w:r>
      <w:r>
        <w:rPr>
          <w:color w:val="3366FF"/>
        </w:rPr>
        <w:t>关雎》谈起，师生一起感受</w:t>
      </w:r>
    </w:p>
    <w:p>
      <w:pPr>
        <w:pStyle w:val="BodyText"/>
        <w:spacing w:line="364" w:lineRule="auto" w:before="160"/>
        <w:ind w:left="1418" w:right="1365"/>
      </w:pPr>
      <w:r>
        <w:rPr>
          <w:color w:val="3366FF"/>
          <w:spacing w:val="-1"/>
        </w:rPr>
        <w:t>《诗经》的语言之美、道德之美、生命之美，体味“淑女君子”内外兼修的中华风度。</w:t>
      </w:r>
      <w:r>
        <w:rPr>
          <w:color w:val="3366FF"/>
          <w:spacing w:val="-4"/>
        </w:rPr>
        <w:t>下半场则以上合组织青岛峰会为案例，师生共同沉浸于对中华民族“有朋自远方来”博</w:t>
      </w:r>
      <w:r>
        <w:rPr>
          <w:color w:val="3366FF"/>
          <w:spacing w:val="-11"/>
        </w:rPr>
        <w:t>大胸怀的自豪感，并自信于儒家“和合”思想对中国和世界的深远影响力。两位老师一</w:t>
      </w:r>
      <w:r>
        <w:rPr>
          <w:color w:val="3366FF"/>
          <w:spacing w:val="-12"/>
        </w:rPr>
        <w:t>问一答，一唱一和，幽默新颖的方式也激发了学生们课堂参与的热情，有的展示书法作</w:t>
      </w:r>
    </w:p>
    <w:p>
      <w:pPr>
        <w:spacing w:after="0" w:line="364" w:lineRule="auto"/>
        <w:sectPr>
          <w:pgSz w:w="11910" w:h="16840"/>
          <w:pgMar w:header="780" w:footer="1241" w:top="1260" w:bottom="1440" w:left="0" w:right="0"/>
        </w:sectPr>
      </w:pPr>
    </w:p>
    <w:p>
      <w:pPr>
        <w:pStyle w:val="BodyText"/>
        <w:rPr>
          <w:sz w:val="12"/>
        </w:rPr>
      </w:pPr>
    </w:p>
    <w:p>
      <w:pPr>
        <w:pStyle w:val="BodyText"/>
        <w:spacing w:line="364" w:lineRule="auto" w:before="66"/>
        <w:ind w:left="1898" w:right="1365" w:hanging="480"/>
      </w:pPr>
      <w:r>
        <w:rPr>
          <w:color w:val="3366FF"/>
        </w:rPr>
        <w:t>品，有的发起灯谜有奖竞猜，有的即兴唱起湖南花鼓戏，将课堂教学一次次推向高潮。本次课是思政课部从“思政课程”到“课程思政”的一次有益的改革创新，旨在构</w:t>
      </w:r>
    </w:p>
    <w:p>
      <w:pPr>
        <w:pStyle w:val="BodyText"/>
        <w:spacing w:line="364" w:lineRule="auto" w:before="1"/>
        <w:ind w:left="1418" w:right="1334"/>
      </w:pPr>
      <w:r>
        <w:rPr/>
        <w:drawing>
          <wp:anchor distT="0" distB="0" distL="0" distR="0" allowOverlap="1" layoutInCell="1" locked="0" behindDoc="0" simplePos="0" relativeHeight="251678720">
            <wp:simplePos x="0" y="0"/>
            <wp:positionH relativeFrom="page">
              <wp:posOffset>1577339</wp:posOffset>
            </wp:positionH>
            <wp:positionV relativeFrom="paragraph">
              <wp:posOffset>871727</wp:posOffset>
            </wp:positionV>
            <wp:extent cx="4381500" cy="2712719"/>
            <wp:effectExtent l="0" t="0" r="0" b="0"/>
            <wp:wrapNone/>
            <wp:docPr id="83" name="image46.jpeg"/>
            <wp:cNvGraphicFramePr>
              <a:graphicFrameLocks noChangeAspect="1"/>
            </wp:cNvGraphicFramePr>
            <a:graphic>
              <a:graphicData uri="http://schemas.openxmlformats.org/drawingml/2006/picture">
                <pic:pic>
                  <pic:nvPicPr>
                    <pic:cNvPr id="84" name="image46.jpeg"/>
                    <pic:cNvPicPr/>
                  </pic:nvPicPr>
                  <pic:blipFill>
                    <a:blip r:embed="rId58" cstate="print"/>
                    <a:stretch>
                      <a:fillRect/>
                    </a:stretch>
                  </pic:blipFill>
                  <pic:spPr>
                    <a:xfrm>
                      <a:off x="0" y="0"/>
                      <a:ext cx="4381500" cy="2712719"/>
                    </a:xfrm>
                    <a:prstGeom prst="rect">
                      <a:avLst/>
                    </a:prstGeom>
                  </pic:spPr>
                </pic:pic>
              </a:graphicData>
            </a:graphic>
          </wp:anchor>
        </w:drawing>
      </w:r>
      <w:r>
        <w:rPr>
          <w:color w:val="3366FF"/>
          <w:spacing w:val="-18"/>
        </w:rPr>
        <w:t>建大思政教育教学体系，将隐性教育和显性教育融合贯通，为学生加固信仰与理想的“承</w:t>
      </w:r>
      <w:r>
        <w:rPr>
          <w:color w:val="3366FF"/>
          <w:spacing w:val="-24"/>
        </w:rPr>
        <w:t>重墙”，拓展理论与实践的“同心圆”，扩建教与学的“立交桥”，生成同向同行的合力，</w:t>
      </w:r>
      <w:r>
        <w:rPr>
          <w:color w:val="3366FF"/>
          <w:spacing w:val="-13"/>
        </w:rPr>
        <w:t>让思想政治教育教学“配方”更先进、“工艺”更精准、“包装”更时尚。</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0"/>
        </w:rPr>
      </w:pPr>
    </w:p>
    <w:p>
      <w:pPr>
        <w:tabs>
          <w:tab w:pos="789" w:val="left" w:leader="none"/>
        </w:tabs>
        <w:spacing w:before="0"/>
        <w:ind w:left="0" w:right="23" w:firstLine="0"/>
        <w:jc w:val="center"/>
        <w:rPr>
          <w:b/>
          <w:sz w:val="21"/>
        </w:rPr>
      </w:pPr>
      <w:r>
        <w:rPr>
          <w:b/>
          <w:sz w:val="21"/>
        </w:rPr>
        <w:t>图</w:t>
      </w:r>
      <w:r>
        <w:rPr>
          <w:b/>
          <w:spacing w:val="-55"/>
          <w:sz w:val="21"/>
        </w:rPr>
        <w:t> </w:t>
      </w:r>
      <w:r>
        <w:rPr>
          <w:b/>
          <w:sz w:val="21"/>
        </w:rPr>
        <w:t>3-3</w:t>
        <w:tab/>
        <w:t>以文化自信串起传统文化珍珠》课堂</w:t>
      </w:r>
    </w:p>
    <w:p>
      <w:pPr>
        <w:pStyle w:val="BodyText"/>
        <w:spacing w:before="2"/>
        <w:rPr>
          <w:b/>
          <w:sz w:val="14"/>
        </w:rPr>
      </w:pPr>
    </w:p>
    <w:p>
      <w:pPr>
        <w:pStyle w:val="Heading2"/>
        <w:numPr>
          <w:ilvl w:val="2"/>
          <w:numId w:val="3"/>
        </w:numPr>
        <w:tabs>
          <w:tab w:pos="2743" w:val="left" w:leader="none"/>
          <w:tab w:pos="2744" w:val="left" w:leader="none"/>
        </w:tabs>
        <w:spacing w:line="240" w:lineRule="auto" w:before="0" w:after="0"/>
        <w:ind w:left="2743" w:right="0" w:hanging="846"/>
        <w:jc w:val="left"/>
      </w:pPr>
      <w:bookmarkStart w:name="3.2.4  校园文化" w:id="130"/>
      <w:bookmarkEnd w:id="130"/>
      <w:r>
        <w:rPr>
          <w:b w:val="0"/>
        </w:rPr>
      </w:r>
      <w:bookmarkStart w:name="_bookmark48" w:id="131"/>
      <w:bookmarkEnd w:id="131"/>
      <w:r>
        <w:rPr>
          <w:b w:val="0"/>
        </w:rPr>
      </w:r>
      <w:bookmarkStart w:name="_bookmark48" w:id="132"/>
      <w:bookmarkEnd w:id="132"/>
      <w:r>
        <w:rPr/>
        <w:t>校园文化</w:t>
      </w:r>
    </w:p>
    <w:p>
      <w:pPr>
        <w:pStyle w:val="BodyText"/>
        <w:spacing w:before="6"/>
        <w:rPr>
          <w:rFonts w:ascii="黑体"/>
          <w:b/>
        </w:rPr>
      </w:pPr>
    </w:p>
    <w:p>
      <w:pPr>
        <w:pStyle w:val="BodyText"/>
        <w:spacing w:line="364" w:lineRule="auto"/>
        <w:ind w:left="1418" w:right="1365" w:firstLine="480"/>
      </w:pPr>
      <w:r>
        <w:rPr>
          <w:spacing w:val="-6"/>
        </w:rPr>
        <w:t>正确引导广大团员青年，以实施科学文化素质教育为基础，以建设优良的校风、学</w:t>
      </w:r>
      <w:r>
        <w:rPr>
          <w:spacing w:val="-10"/>
        </w:rPr>
        <w:t>风为核心，以增强科技创新意识和能力为重点，以提高综合素质为目标，把校园文化的</w:t>
      </w:r>
      <w:r>
        <w:rPr>
          <w:spacing w:val="-11"/>
        </w:rPr>
        <w:t>内化教育功能与大学生自我塑造有机结合起来，开展多层次、高品位的校园文化活动， </w:t>
      </w:r>
      <w:r>
        <w:rPr/>
        <w:t>使学生在健康向上的校园文化氛围中受到熏陶和教育。</w:t>
      </w:r>
    </w:p>
    <w:p>
      <w:pPr>
        <w:pStyle w:val="BodyText"/>
        <w:spacing w:line="364" w:lineRule="auto" w:before="3"/>
        <w:ind w:left="1418" w:right="1334" w:firstLine="480"/>
      </w:pPr>
      <w:r>
        <w:rPr>
          <w:spacing w:val="-8"/>
        </w:rPr>
        <w:t>校园文化品牌逐渐形成。以“思想文明、举止文明、就餐文明、课堂文明、宿舍文</w:t>
      </w:r>
      <w:r>
        <w:rPr>
          <w:spacing w:val="-10"/>
        </w:rPr>
        <w:t>明、生态文明”为主要内容，广泛开展形式多样的活动，加强大学生自我管理，传播先</w:t>
      </w:r>
      <w:r>
        <w:rPr>
          <w:spacing w:val="-16"/>
        </w:rPr>
        <w:t>进文化，弘扬民族精神，营造文明礼貌氛围，强化文明意识：做文明学生、建文明校园、</w:t>
      </w:r>
      <w:r>
        <w:rPr>
          <w:spacing w:val="-9"/>
        </w:rPr>
        <w:t>树文明风尚。目前，学校已形成了包括读书节、宿舍文化节、行为规范月、校园文化艺</w:t>
      </w:r>
      <w:r>
        <w:rPr>
          <w:spacing w:val="-11"/>
        </w:rPr>
        <w:t>术节、创业大赛等校园文化品牌活动，各二级学院团总支的活动也丰富多彩，例如化学</w:t>
      </w:r>
      <w:r>
        <w:rPr>
          <w:spacing w:val="-21"/>
        </w:rPr>
        <w:t>工程学院的“零手机课堂”、制药与生物工程学院的“啤酒文化节”、商学院的“职业生</w:t>
      </w:r>
      <w:r>
        <w:rPr>
          <w:spacing w:val="-16"/>
        </w:rPr>
        <w:t>涯规划大赛”、机电工程学院的“少数民族游园会”等，深受广大学生欢迎。今年，制</w:t>
      </w:r>
      <w:r>
        <w:rPr>
          <w:spacing w:val="-17"/>
        </w:rPr>
        <w:t>药与生物工程学院团总支、化学工程学院团总支荣获“株洲市五四红旗团总支”荣誉称号。</w:t>
      </w:r>
    </w:p>
    <w:p>
      <w:pPr>
        <w:spacing w:after="0" w:line="364" w:lineRule="auto"/>
        <w:sectPr>
          <w:pgSz w:w="11910" w:h="16840"/>
          <w:pgMar w:header="780" w:footer="1241" w:top="1260" w:bottom="1440" w:left="0" w:right="0"/>
        </w:sectPr>
      </w:pPr>
    </w:p>
    <w:p>
      <w:pPr>
        <w:pStyle w:val="BodyText"/>
        <w:rPr>
          <w:sz w:val="12"/>
        </w:rPr>
      </w:pPr>
    </w:p>
    <w:p>
      <w:pPr>
        <w:pStyle w:val="BodyText"/>
        <w:spacing w:line="364" w:lineRule="auto" w:before="66"/>
        <w:ind w:left="1418" w:right="1334" w:firstLine="480"/>
      </w:pPr>
      <w:r>
        <w:rPr>
          <w:spacing w:val="-14"/>
        </w:rPr>
        <w:t>社团活动百花齐放。以促进学生社团健康发展为目的，在规范学生社团管理、考核、</w:t>
      </w:r>
      <w:r>
        <w:rPr>
          <w:spacing w:val="-7"/>
        </w:rPr>
        <w:t>激励的基础上，进一步加大了对社团的指导及扶持力度，鼓励社团特色化发展，以“科技</w:t>
      </w:r>
      <w:r>
        <w:rPr>
          <w:spacing w:val="-20"/>
        </w:rPr>
        <w:t>·</w:t>
      </w:r>
      <w:r>
        <w:rPr>
          <w:spacing w:val="-9"/>
        </w:rPr>
        <w:t>创新”为主题，开展社团文化艺术节，展现当代大学的精神风貌，积极发挥社团文</w:t>
      </w:r>
      <w:r>
        <w:rPr>
          <w:spacing w:val="-12"/>
        </w:rPr>
        <w:t>化育人功能，促进青年学生健康成长成才，打造具有时代特征、学校特色、青年特点的</w:t>
      </w:r>
      <w:r>
        <w:rPr>
          <w:spacing w:val="-15"/>
        </w:rPr>
        <w:t>社团文化品牌。社团联合会共组织了 </w:t>
      </w:r>
      <w:r>
        <w:rPr/>
        <w:t>30</w:t>
      </w:r>
      <w:r>
        <w:rPr>
          <w:spacing w:val="-8"/>
        </w:rPr>
        <w:t> 余项大型社团文化活动，例如大学生艺术团举</w:t>
      </w:r>
      <w:r>
        <w:rPr>
          <w:spacing w:val="-15"/>
        </w:rPr>
        <w:t>办的“湖南省校园百事最强音”、辩论协会举办的株洲市七校联谊辩论赛、化工协会举</w:t>
      </w:r>
      <w:r>
        <w:rPr>
          <w:spacing w:val="-19"/>
        </w:rPr>
        <w:t>办湘潭大学、湖南师大、化工职院三校“化工知识竞赛”等。“霹雳乒乓球”协会荣获全国最具影响力体育社团荣誉称号。</w:t>
      </w:r>
    </w:p>
    <w:p>
      <w:pPr>
        <w:pStyle w:val="Heading2"/>
        <w:spacing w:before="5"/>
        <w:ind w:left="1898" w:firstLine="0"/>
      </w:pPr>
      <w:bookmarkStart w:name="【典型案例14】学院被教育部授牌“中华传统美德研究院”" w:id="133"/>
      <w:bookmarkEnd w:id="133"/>
      <w:r>
        <w:rPr>
          <w:b w:val="0"/>
        </w:rPr>
      </w:r>
      <w:bookmarkStart w:name="_bookmark49" w:id="134"/>
      <w:bookmarkEnd w:id="134"/>
      <w:r>
        <w:rPr>
          <w:b w:val="0"/>
        </w:rPr>
      </w:r>
      <w:r>
        <w:rPr/>
        <w:t>【典型案例 14】学院被教育部授牌“中华传统美德研究院”</w:t>
      </w:r>
    </w:p>
    <w:p>
      <w:pPr>
        <w:pStyle w:val="BodyText"/>
        <w:spacing w:before="6"/>
        <w:rPr>
          <w:rFonts w:ascii="黑体"/>
          <w:b/>
        </w:rPr>
      </w:pPr>
    </w:p>
    <w:p>
      <w:pPr>
        <w:pStyle w:val="BodyText"/>
        <w:spacing w:line="364" w:lineRule="auto" w:before="1"/>
        <w:ind w:left="1418" w:right="1453" w:firstLine="480"/>
        <w:jc w:val="both"/>
      </w:pPr>
      <w:r>
        <w:rPr/>
        <w:drawing>
          <wp:anchor distT="0" distB="0" distL="0" distR="0" allowOverlap="1" layoutInCell="1" locked="0" behindDoc="1" simplePos="0" relativeHeight="244360192">
            <wp:simplePos x="0" y="0"/>
            <wp:positionH relativeFrom="page">
              <wp:posOffset>1680972</wp:posOffset>
            </wp:positionH>
            <wp:positionV relativeFrom="paragraph">
              <wp:posOffset>3235464</wp:posOffset>
            </wp:positionV>
            <wp:extent cx="4172712" cy="2343912"/>
            <wp:effectExtent l="0" t="0" r="0" b="0"/>
            <wp:wrapNone/>
            <wp:docPr id="85" name="image47.jpeg"/>
            <wp:cNvGraphicFramePr>
              <a:graphicFrameLocks noChangeAspect="1"/>
            </wp:cNvGraphicFramePr>
            <a:graphic>
              <a:graphicData uri="http://schemas.openxmlformats.org/drawingml/2006/picture">
                <pic:pic>
                  <pic:nvPicPr>
                    <pic:cNvPr id="86" name="image47.jpeg"/>
                    <pic:cNvPicPr/>
                  </pic:nvPicPr>
                  <pic:blipFill>
                    <a:blip r:embed="rId59" cstate="print"/>
                    <a:stretch>
                      <a:fillRect/>
                    </a:stretch>
                  </pic:blipFill>
                  <pic:spPr>
                    <a:xfrm>
                      <a:off x="0" y="0"/>
                      <a:ext cx="4172712" cy="2343912"/>
                    </a:xfrm>
                    <a:prstGeom prst="rect">
                      <a:avLst/>
                    </a:prstGeom>
                  </pic:spPr>
                </pic:pic>
              </a:graphicData>
            </a:graphic>
          </wp:anchor>
        </w:drawing>
      </w:r>
      <w:r>
        <w:rPr>
          <w:color w:val="3366FF"/>
        </w:rPr>
        <w:t>由教育部职成司指导的全国职业院校“奋进新时代 中华美德职教行”活动以习近</w:t>
      </w:r>
      <w:r>
        <w:rPr>
          <w:color w:val="3366FF"/>
          <w:spacing w:val="-6"/>
        </w:rPr>
        <w:t>平新时代中国特色社会主义思想为指导，坚持中国特色社会主义文化发展道路，弘扬社</w:t>
      </w:r>
      <w:r>
        <w:rPr>
          <w:color w:val="3366FF"/>
          <w:spacing w:val="-8"/>
        </w:rPr>
        <w:t>会主义核心价值观，培育民族精神和时代精神，继承和发扬中华优秀传统文化，大力弘</w:t>
      </w:r>
      <w:r>
        <w:rPr>
          <w:color w:val="3366FF"/>
          <w:spacing w:val="-10"/>
        </w:rPr>
        <w:t>扬自强不息、敬业乐群、扶危济困、见义勇为、孝老爱亲等中华传统美德，将中华传统</w:t>
      </w:r>
      <w:r>
        <w:rPr>
          <w:color w:val="3366FF"/>
          <w:spacing w:val="-7"/>
        </w:rPr>
        <w:t>美德教育与职业教育有机融合，帮助学生树立正确的世界观、人生观和价值观，培养更</w:t>
      </w:r>
      <w:r>
        <w:rPr>
          <w:color w:val="3366FF"/>
          <w:spacing w:val="-9"/>
        </w:rPr>
        <w:t>多广受社会悦纳、具有较高道德水准的应用型人才，为实现中华民族伟大复兴的中国梦</w:t>
      </w:r>
      <w:r>
        <w:rPr>
          <w:color w:val="3366FF"/>
          <w:spacing w:val="-8"/>
        </w:rPr>
        <w:t>提供强大精神力量。活动要体现时代特征，要积极落实立德树人根本任务，将中华美德</w:t>
      </w:r>
      <w:r>
        <w:rPr>
          <w:color w:val="3366FF"/>
          <w:spacing w:val="-7"/>
        </w:rPr>
        <w:t>教育与职业教育相融合，做人与做事的相融合，短期目标和长远规划相结合，文化传承与专业建设相结合，使之能受益于全体师生，同时，要加大活动宣传力度，营造浓厚氛</w:t>
      </w:r>
      <w:r>
        <w:rPr>
          <w:color w:val="3366FF"/>
          <w:spacing w:val="-11"/>
        </w:rPr>
        <w:t>围，确保活动实效，打造职教品牌，提高社会对职业教育的认可度，将中华传统美德在</w:t>
      </w:r>
      <w:r>
        <w:rPr>
          <w:color w:val="3366FF"/>
        </w:rPr>
        <w:t>职业院校深入人心。</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0"/>
        </w:rPr>
      </w:pPr>
    </w:p>
    <w:p>
      <w:pPr>
        <w:tabs>
          <w:tab w:pos="791" w:val="left" w:leader="none"/>
        </w:tabs>
        <w:spacing w:before="0"/>
        <w:ind w:left="0" w:right="23" w:firstLine="0"/>
        <w:jc w:val="center"/>
        <w:rPr>
          <w:b/>
          <w:sz w:val="21"/>
        </w:rPr>
      </w:pPr>
      <w:r>
        <w:rPr>
          <w:b/>
          <w:sz w:val="21"/>
        </w:rPr>
        <w:t>图</w:t>
      </w:r>
      <w:r>
        <w:rPr>
          <w:b/>
          <w:spacing w:val="-52"/>
          <w:sz w:val="21"/>
        </w:rPr>
        <w:t> </w:t>
      </w:r>
      <w:r>
        <w:rPr>
          <w:b/>
          <w:sz w:val="21"/>
        </w:rPr>
        <w:t>3-4</w:t>
        <w:tab/>
        <w:t>院被教育部授牌“中华传统美德研究院”</w:t>
      </w:r>
    </w:p>
    <w:p>
      <w:pPr>
        <w:spacing w:after="0"/>
        <w:jc w:val="center"/>
        <w:rPr>
          <w:sz w:val="21"/>
        </w:rPr>
        <w:sectPr>
          <w:pgSz w:w="11910" w:h="16840"/>
          <w:pgMar w:header="780" w:footer="1241" w:top="1260" w:bottom="1440" w:left="0" w:right="0"/>
        </w:sectPr>
      </w:pPr>
    </w:p>
    <w:p>
      <w:pPr>
        <w:pStyle w:val="Heading2"/>
        <w:numPr>
          <w:ilvl w:val="1"/>
          <w:numId w:val="3"/>
        </w:numPr>
        <w:tabs>
          <w:tab w:pos="2471" w:val="left" w:leader="none"/>
          <w:tab w:pos="2472" w:val="left" w:leader="none"/>
        </w:tabs>
        <w:spacing w:line="240" w:lineRule="auto" w:before="141" w:after="0"/>
        <w:ind w:left="2472" w:right="0" w:hanging="574"/>
        <w:jc w:val="left"/>
      </w:pPr>
      <w:bookmarkStart w:name="3.3  学生反馈表" w:id="135"/>
      <w:bookmarkEnd w:id="135"/>
      <w:r>
        <w:rPr>
          <w:b w:val="0"/>
        </w:rPr>
      </w:r>
      <w:bookmarkStart w:name="_bookmark50" w:id="136"/>
      <w:bookmarkEnd w:id="136"/>
      <w:r>
        <w:rPr>
          <w:b w:val="0"/>
        </w:rPr>
      </w:r>
      <w:bookmarkStart w:name="_bookmark50" w:id="137"/>
      <w:bookmarkEnd w:id="137"/>
      <w:r>
        <w:rPr/>
        <w:t>学生反馈表</w:t>
      </w:r>
    </w:p>
    <w:p>
      <w:pPr>
        <w:pStyle w:val="BodyText"/>
        <w:spacing w:before="8"/>
        <w:rPr>
          <w:rFonts w:ascii="黑体"/>
          <w:b/>
          <w:sz w:val="26"/>
        </w:rPr>
      </w:pPr>
    </w:p>
    <w:p>
      <w:pPr>
        <w:tabs>
          <w:tab w:pos="791" w:val="left" w:leader="none"/>
        </w:tabs>
        <w:spacing w:before="70"/>
        <w:ind w:left="0" w:right="33" w:firstLine="0"/>
        <w:jc w:val="center"/>
        <w:rPr>
          <w:b/>
          <w:sz w:val="21"/>
        </w:rPr>
      </w:pPr>
      <w:r>
        <w:rPr>
          <w:b/>
          <w:sz w:val="21"/>
        </w:rPr>
        <w:t>表</w:t>
      </w:r>
      <w:r>
        <w:rPr>
          <w:b/>
          <w:spacing w:val="-53"/>
          <w:sz w:val="21"/>
        </w:rPr>
        <w:t> </w:t>
      </w:r>
      <w:r>
        <w:rPr>
          <w:b/>
          <w:sz w:val="21"/>
        </w:rPr>
        <w:t>3-2</w:t>
        <w:tab/>
        <w:t>学生反馈表</w:t>
      </w:r>
    </w:p>
    <w:p>
      <w:pPr>
        <w:pStyle w:val="BodyText"/>
        <w:spacing w:before="12"/>
        <w:rPr>
          <w:b/>
          <w:sz w:val="7"/>
        </w:rPr>
      </w:pPr>
    </w:p>
    <w:tbl>
      <w:tblPr>
        <w:tblW w:w="0" w:type="auto"/>
        <w:jc w:val="left"/>
        <w:tblInd w:w="1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41"/>
        <w:gridCol w:w="826"/>
        <w:gridCol w:w="412"/>
        <w:gridCol w:w="1924"/>
        <w:gridCol w:w="1375"/>
        <w:gridCol w:w="825"/>
        <w:gridCol w:w="961"/>
        <w:gridCol w:w="961"/>
        <w:gridCol w:w="1174"/>
      </w:tblGrid>
      <w:tr>
        <w:trPr>
          <w:trHeight w:val="624" w:hRule="atLeast"/>
        </w:trPr>
        <w:tc>
          <w:tcPr>
            <w:tcW w:w="741" w:type="dxa"/>
            <w:tcBorders>
              <w:bottom w:val="single" w:sz="8" w:space="0" w:color="000000"/>
              <w:right w:val="single" w:sz="8" w:space="0" w:color="000000"/>
            </w:tcBorders>
          </w:tcPr>
          <w:p>
            <w:pPr>
              <w:pStyle w:val="TableParagraph"/>
              <w:spacing w:line="299" w:lineRule="exact"/>
              <w:ind w:left="129"/>
              <w:rPr>
                <w:rFonts w:ascii="Microsoft JhengHei" w:eastAsia="Microsoft JhengHei" w:hint="eastAsia"/>
                <w:b/>
                <w:sz w:val="24"/>
              </w:rPr>
            </w:pPr>
            <w:r>
              <w:rPr>
                <w:rFonts w:ascii="Microsoft JhengHei" w:eastAsia="Microsoft JhengHei" w:hint="eastAsia"/>
                <w:b/>
                <w:sz w:val="24"/>
              </w:rPr>
              <w:t>院校</w:t>
            </w:r>
          </w:p>
          <w:p>
            <w:pPr>
              <w:pStyle w:val="TableParagraph"/>
              <w:spacing w:line="305" w:lineRule="exact"/>
              <w:ind w:left="129"/>
              <w:rPr>
                <w:rFonts w:ascii="Microsoft JhengHei" w:eastAsia="Microsoft JhengHei" w:hint="eastAsia"/>
                <w:b/>
                <w:sz w:val="24"/>
              </w:rPr>
            </w:pPr>
            <w:r>
              <w:rPr>
                <w:rFonts w:ascii="Microsoft JhengHei" w:eastAsia="Microsoft JhengHei" w:hint="eastAsia"/>
                <w:b/>
                <w:sz w:val="24"/>
              </w:rPr>
              <w:t>代码</w:t>
            </w:r>
          </w:p>
        </w:tc>
        <w:tc>
          <w:tcPr>
            <w:tcW w:w="826" w:type="dxa"/>
            <w:tcBorders>
              <w:left w:val="single" w:sz="8" w:space="0" w:color="000000"/>
              <w:bottom w:val="single" w:sz="8" w:space="0" w:color="000000"/>
              <w:right w:val="single" w:sz="8" w:space="0" w:color="000000"/>
            </w:tcBorders>
          </w:tcPr>
          <w:p>
            <w:pPr>
              <w:pStyle w:val="TableParagraph"/>
              <w:spacing w:line="299" w:lineRule="exact"/>
              <w:ind w:left="178"/>
              <w:rPr>
                <w:rFonts w:ascii="Microsoft JhengHei" w:eastAsia="Microsoft JhengHei" w:hint="eastAsia"/>
                <w:b/>
                <w:sz w:val="24"/>
              </w:rPr>
            </w:pPr>
            <w:r>
              <w:rPr>
                <w:rFonts w:ascii="Microsoft JhengHei" w:eastAsia="Microsoft JhengHei" w:hint="eastAsia"/>
                <w:b/>
                <w:sz w:val="24"/>
              </w:rPr>
              <w:t>院校</w:t>
            </w:r>
          </w:p>
          <w:p>
            <w:pPr>
              <w:pStyle w:val="TableParagraph"/>
              <w:spacing w:line="305" w:lineRule="exact"/>
              <w:ind w:left="178"/>
              <w:rPr>
                <w:rFonts w:ascii="Microsoft JhengHei" w:eastAsia="Microsoft JhengHei" w:hint="eastAsia"/>
                <w:b/>
                <w:sz w:val="24"/>
              </w:rPr>
            </w:pPr>
            <w:r>
              <w:rPr>
                <w:rFonts w:ascii="Microsoft JhengHei" w:eastAsia="Microsoft JhengHei" w:hint="eastAsia"/>
                <w:b/>
                <w:sz w:val="24"/>
              </w:rPr>
              <w:t>名称</w:t>
            </w:r>
          </w:p>
        </w:tc>
        <w:tc>
          <w:tcPr>
            <w:tcW w:w="3711" w:type="dxa"/>
            <w:gridSpan w:val="3"/>
            <w:tcBorders>
              <w:left w:val="single" w:sz="8" w:space="0" w:color="000000"/>
              <w:bottom w:val="single" w:sz="8" w:space="0" w:color="000000"/>
              <w:right w:val="single" w:sz="8" w:space="0" w:color="000000"/>
            </w:tcBorders>
          </w:tcPr>
          <w:p>
            <w:pPr>
              <w:pStyle w:val="TableParagraph"/>
              <w:spacing w:before="78"/>
              <w:ind w:left="1599" w:right="1570"/>
              <w:jc w:val="center"/>
              <w:rPr>
                <w:rFonts w:ascii="Microsoft JhengHei" w:eastAsia="Microsoft JhengHei" w:hint="eastAsia"/>
                <w:b/>
                <w:sz w:val="24"/>
              </w:rPr>
            </w:pPr>
            <w:r>
              <w:rPr>
                <w:rFonts w:ascii="Microsoft JhengHei" w:eastAsia="Microsoft JhengHei" w:hint="eastAsia"/>
                <w:b/>
                <w:sz w:val="24"/>
              </w:rPr>
              <w:t>指标</w:t>
            </w:r>
          </w:p>
        </w:tc>
        <w:tc>
          <w:tcPr>
            <w:tcW w:w="825" w:type="dxa"/>
            <w:tcBorders>
              <w:left w:val="single" w:sz="8" w:space="0" w:color="000000"/>
              <w:bottom w:val="single" w:sz="8" w:space="0" w:color="000000"/>
              <w:right w:val="single" w:sz="8" w:space="0" w:color="000000"/>
            </w:tcBorders>
          </w:tcPr>
          <w:p>
            <w:pPr>
              <w:pStyle w:val="TableParagraph"/>
              <w:spacing w:before="78"/>
              <w:ind w:left="156" w:right="127"/>
              <w:jc w:val="center"/>
              <w:rPr>
                <w:rFonts w:ascii="Microsoft JhengHei" w:eastAsia="Microsoft JhengHei" w:hint="eastAsia"/>
                <w:b/>
                <w:sz w:val="24"/>
              </w:rPr>
            </w:pPr>
            <w:r>
              <w:rPr>
                <w:rFonts w:ascii="Microsoft JhengHei" w:eastAsia="Microsoft JhengHei" w:hint="eastAsia"/>
                <w:b/>
                <w:sz w:val="24"/>
              </w:rPr>
              <w:t>单位</w:t>
            </w:r>
          </w:p>
        </w:tc>
        <w:tc>
          <w:tcPr>
            <w:tcW w:w="961" w:type="dxa"/>
            <w:tcBorders>
              <w:left w:val="single" w:sz="8" w:space="0" w:color="000000"/>
              <w:bottom w:val="single" w:sz="8" w:space="0" w:color="000000"/>
              <w:right w:val="single" w:sz="8" w:space="0" w:color="000000"/>
            </w:tcBorders>
          </w:tcPr>
          <w:p>
            <w:pPr>
              <w:pStyle w:val="TableParagraph"/>
              <w:spacing w:before="78"/>
              <w:ind w:left="125"/>
              <w:rPr>
                <w:rFonts w:ascii="Microsoft JhengHei" w:eastAsia="Microsoft JhengHei" w:hint="eastAsia"/>
                <w:b/>
                <w:sz w:val="24"/>
              </w:rPr>
            </w:pPr>
            <w:r>
              <w:rPr>
                <w:rFonts w:ascii="Microsoft JhengHei" w:eastAsia="Microsoft JhengHei" w:hint="eastAsia"/>
                <w:b/>
                <w:sz w:val="24"/>
              </w:rPr>
              <w:t>一年级</w:t>
            </w:r>
          </w:p>
        </w:tc>
        <w:tc>
          <w:tcPr>
            <w:tcW w:w="961" w:type="dxa"/>
            <w:tcBorders>
              <w:left w:val="single" w:sz="8" w:space="0" w:color="000000"/>
              <w:bottom w:val="single" w:sz="8" w:space="0" w:color="000000"/>
              <w:right w:val="single" w:sz="8" w:space="0" w:color="000000"/>
            </w:tcBorders>
          </w:tcPr>
          <w:p>
            <w:pPr>
              <w:pStyle w:val="TableParagraph"/>
              <w:spacing w:before="78"/>
              <w:ind w:left="124"/>
              <w:rPr>
                <w:rFonts w:ascii="Microsoft JhengHei" w:eastAsia="Microsoft JhengHei" w:hint="eastAsia"/>
                <w:b/>
                <w:sz w:val="24"/>
              </w:rPr>
            </w:pPr>
            <w:r>
              <w:rPr>
                <w:rFonts w:ascii="Microsoft JhengHei" w:eastAsia="Microsoft JhengHei" w:hint="eastAsia"/>
                <w:b/>
                <w:sz w:val="24"/>
              </w:rPr>
              <w:t>二年级</w:t>
            </w:r>
          </w:p>
        </w:tc>
        <w:tc>
          <w:tcPr>
            <w:tcW w:w="1174" w:type="dxa"/>
            <w:tcBorders>
              <w:left w:val="single" w:sz="8" w:space="0" w:color="000000"/>
              <w:bottom w:val="single" w:sz="8" w:space="0" w:color="000000"/>
            </w:tcBorders>
          </w:tcPr>
          <w:p>
            <w:pPr>
              <w:pStyle w:val="TableParagraph"/>
              <w:spacing w:before="78"/>
              <w:ind w:left="351"/>
              <w:rPr>
                <w:rFonts w:ascii="Microsoft JhengHei" w:eastAsia="Microsoft JhengHei" w:hint="eastAsia"/>
                <w:b/>
                <w:sz w:val="24"/>
              </w:rPr>
            </w:pPr>
            <w:r>
              <w:rPr>
                <w:rFonts w:ascii="Microsoft JhengHei" w:eastAsia="Microsoft JhengHei" w:hint="eastAsia"/>
                <w:b/>
                <w:sz w:val="24"/>
              </w:rPr>
              <w:t>备注</w:t>
            </w:r>
          </w:p>
        </w:tc>
      </w:tr>
      <w:tr>
        <w:trPr>
          <w:trHeight w:val="335" w:hRule="atLeast"/>
        </w:trPr>
        <w:tc>
          <w:tcPr>
            <w:tcW w:w="741" w:type="dxa"/>
            <w:vMerge w:val="restart"/>
            <w:tcBorders>
              <w:top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4"/>
              <w:rPr>
                <w:b/>
                <w:sz w:val="17"/>
              </w:rPr>
            </w:pPr>
          </w:p>
          <w:p>
            <w:pPr>
              <w:pStyle w:val="TableParagraph"/>
              <w:ind w:left="108" w:right="85"/>
              <w:jc w:val="center"/>
              <w:rPr>
                <w:sz w:val="24"/>
              </w:rPr>
            </w:pPr>
            <w:r>
              <w:rPr>
                <w:sz w:val="24"/>
              </w:rPr>
              <w:t>1304</w:t>
            </w:r>
          </w:p>
          <w:p>
            <w:pPr>
              <w:pStyle w:val="TableParagraph"/>
              <w:spacing w:before="5"/>
              <w:ind w:left="23"/>
              <w:jc w:val="center"/>
              <w:rPr>
                <w:sz w:val="24"/>
              </w:rPr>
            </w:pPr>
            <w:r>
              <w:rPr>
                <w:sz w:val="24"/>
              </w:rPr>
              <w:t>3</w:t>
            </w:r>
          </w:p>
        </w:tc>
        <w:tc>
          <w:tcPr>
            <w:tcW w:w="826"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28"/>
              </w:rPr>
            </w:pPr>
          </w:p>
          <w:p>
            <w:pPr>
              <w:pStyle w:val="TableParagraph"/>
              <w:spacing w:line="242" w:lineRule="auto"/>
              <w:ind w:left="178" w:right="145"/>
              <w:jc w:val="both"/>
              <w:rPr>
                <w:sz w:val="24"/>
              </w:rPr>
            </w:pPr>
            <w:r>
              <w:rPr>
                <w:sz w:val="24"/>
              </w:rPr>
              <w:t>湖南化工职业技术学院</w:t>
            </w:r>
          </w:p>
        </w:tc>
        <w:tc>
          <w:tcPr>
            <w:tcW w:w="412"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5"/>
              <w:ind w:left="149"/>
              <w:rPr>
                <w:sz w:val="24"/>
              </w:rPr>
            </w:pPr>
            <w:r>
              <w:rPr>
                <w:sz w:val="24"/>
              </w:rPr>
              <w:t>1</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3"/>
              <w:ind w:left="111"/>
              <w:rPr>
                <w:sz w:val="24"/>
              </w:rPr>
            </w:pPr>
            <w:r>
              <w:rPr>
                <w:sz w:val="24"/>
              </w:rPr>
              <w:t>全日制在校生人数</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5"/>
              <w:ind w:left="29"/>
              <w:jc w:val="center"/>
              <w:rPr>
                <w:sz w:val="24"/>
              </w:rPr>
            </w:pPr>
            <w:r>
              <w:rPr>
                <w:sz w:val="24"/>
              </w:rPr>
              <w:t>人</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before="3"/>
              <w:ind w:left="245"/>
              <w:rPr>
                <w:sz w:val="24"/>
              </w:rPr>
            </w:pPr>
            <w:r>
              <w:rPr>
                <w:sz w:val="24"/>
              </w:rPr>
              <w:t>4033</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before="3"/>
              <w:ind w:left="244"/>
              <w:rPr>
                <w:sz w:val="24"/>
              </w:rPr>
            </w:pPr>
            <w:r>
              <w:rPr>
                <w:sz w:val="24"/>
              </w:rPr>
              <w:t>3134</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spacing w:before="12"/>
              <w:rPr>
                <w:b/>
                <w:sz w:val="32"/>
              </w:rPr>
            </w:pPr>
          </w:p>
          <w:p>
            <w:pPr>
              <w:pStyle w:val="TableParagraph"/>
              <w:ind w:left="149"/>
              <w:rPr>
                <w:sz w:val="24"/>
              </w:rPr>
            </w:pPr>
            <w:r>
              <w:rPr>
                <w:sz w:val="24"/>
              </w:rPr>
              <w:t>2</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1"/>
              <w:rPr>
                <w:sz w:val="24"/>
              </w:rPr>
            </w:pPr>
            <w:r>
              <w:rPr>
                <w:sz w:val="24"/>
              </w:rPr>
              <w:t>教书育人满意度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29"/>
              <w:jc w:val="center"/>
              <w:rPr>
                <w:sz w:val="24"/>
              </w:rPr>
            </w:pPr>
            <w:r>
              <w:rPr>
                <w:sz w:val="24"/>
              </w:rPr>
              <w:t>—</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90"/>
              <w:ind w:left="111"/>
              <w:rPr>
                <w:sz w:val="24"/>
              </w:rPr>
            </w:pPr>
            <w:r>
              <w:rPr>
                <w:sz w:val="24"/>
              </w:rPr>
              <w:t>(1)课堂育人</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319</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4"/>
              <w:rPr>
                <w:sz w:val="24"/>
              </w:rPr>
            </w:pPr>
            <w:r>
              <w:rPr>
                <w:sz w:val="24"/>
              </w:rPr>
              <w:t>253</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5"/>
              </w:rPr>
            </w:pPr>
          </w:p>
          <w:p>
            <w:pPr>
              <w:pStyle w:val="TableParagraph"/>
              <w:spacing w:line="183" w:lineRule="exact"/>
              <w:ind w:left="362"/>
              <w:rPr>
                <w:sz w:val="18"/>
              </w:rPr>
            </w:pPr>
            <w:r>
              <w:rPr>
                <w:position w:val="-3"/>
                <w:sz w:val="18"/>
              </w:rPr>
              <w:drawing>
                <wp:inline distT="0" distB="0" distL="0" distR="0">
                  <wp:extent cx="66008" cy="116300"/>
                  <wp:effectExtent l="0" t="0" r="0" b="0"/>
                  <wp:docPr id="87" name="image48.png"/>
                  <wp:cNvGraphicFramePr>
                    <a:graphicFrameLocks noChangeAspect="1"/>
                  </wp:cNvGraphicFramePr>
                  <a:graphic>
                    <a:graphicData uri="http://schemas.openxmlformats.org/drawingml/2006/picture">
                      <pic:pic>
                        <pic:nvPicPr>
                          <pic:cNvPr id="88" name="image48.png"/>
                          <pic:cNvPicPr/>
                        </pic:nvPicPr>
                        <pic:blipFill>
                          <a:blip r:embed="rId60" cstate="print"/>
                          <a:stretch>
                            <a:fillRect/>
                          </a:stretch>
                        </pic:blipFill>
                        <pic:spPr>
                          <a:xfrm>
                            <a:off x="0" y="0"/>
                            <a:ext cx="66008" cy="116300"/>
                          </a:xfrm>
                          <a:prstGeom prst="rect">
                            <a:avLst/>
                          </a:prstGeom>
                        </pic:spPr>
                      </pic:pic>
                    </a:graphicData>
                  </a:graphic>
                </wp:inline>
              </w:drawing>
            </w:r>
            <w:r>
              <w:rPr>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97.44</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4"/>
              <w:rPr>
                <w:sz w:val="24"/>
              </w:rPr>
            </w:pPr>
            <w:r>
              <w:rPr>
                <w:sz w:val="24"/>
              </w:rPr>
              <w:t>96.37</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90"/>
              <w:ind w:left="111"/>
              <w:rPr>
                <w:sz w:val="24"/>
              </w:rPr>
            </w:pPr>
            <w:r>
              <w:rPr>
                <w:sz w:val="24"/>
              </w:rPr>
              <w:t>(2)课外育人</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319</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4"/>
              <w:rPr>
                <w:sz w:val="24"/>
              </w:rPr>
            </w:pPr>
            <w:r>
              <w:rPr>
                <w:sz w:val="24"/>
              </w:rPr>
              <w:t>253</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5"/>
              </w:rPr>
            </w:pPr>
          </w:p>
          <w:p>
            <w:pPr>
              <w:pStyle w:val="TableParagraph"/>
              <w:spacing w:line="183" w:lineRule="exact"/>
              <w:ind w:left="362"/>
              <w:rPr>
                <w:sz w:val="18"/>
              </w:rPr>
            </w:pPr>
            <w:r>
              <w:rPr>
                <w:position w:val="-3"/>
                <w:sz w:val="18"/>
              </w:rPr>
              <w:drawing>
                <wp:inline distT="0" distB="0" distL="0" distR="0">
                  <wp:extent cx="66008" cy="116300"/>
                  <wp:effectExtent l="0" t="0" r="0" b="0"/>
                  <wp:docPr id="89" name="image48.png"/>
                  <wp:cNvGraphicFramePr>
                    <a:graphicFrameLocks noChangeAspect="1"/>
                  </wp:cNvGraphicFramePr>
                  <a:graphic>
                    <a:graphicData uri="http://schemas.openxmlformats.org/drawingml/2006/picture">
                      <pic:pic>
                        <pic:nvPicPr>
                          <pic:cNvPr id="90" name="image48.png"/>
                          <pic:cNvPicPr/>
                        </pic:nvPicPr>
                        <pic:blipFill>
                          <a:blip r:embed="rId60" cstate="print"/>
                          <a:stretch>
                            <a:fillRect/>
                          </a:stretch>
                        </pic:blipFill>
                        <pic:spPr>
                          <a:xfrm>
                            <a:off x="0" y="0"/>
                            <a:ext cx="66008" cy="116300"/>
                          </a:xfrm>
                          <a:prstGeom prst="rect">
                            <a:avLst/>
                          </a:prstGeom>
                        </pic:spPr>
                      </pic:pic>
                    </a:graphicData>
                  </a:graphic>
                </wp:inline>
              </w:drawing>
            </w:r>
            <w:r>
              <w:rPr>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98.51</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4"/>
              <w:rPr>
                <w:sz w:val="24"/>
              </w:rPr>
            </w:pPr>
            <w:r>
              <w:rPr>
                <w:sz w:val="24"/>
              </w:rPr>
              <w:t>96.54</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spacing w:before="167"/>
              <w:ind w:left="149"/>
              <w:rPr>
                <w:sz w:val="24"/>
              </w:rPr>
            </w:pPr>
            <w:r>
              <w:rPr>
                <w:sz w:val="24"/>
              </w:rPr>
              <w:t>3</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1"/>
              <w:rPr>
                <w:sz w:val="24"/>
              </w:rPr>
            </w:pPr>
            <w:r>
              <w:rPr>
                <w:sz w:val="24"/>
              </w:rPr>
              <w:t>课程教学满意度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29"/>
              <w:jc w:val="center"/>
              <w:rPr>
                <w:sz w:val="24"/>
              </w:rPr>
            </w:pPr>
            <w:r>
              <w:rPr>
                <w:sz w:val="24"/>
              </w:rPr>
              <w:t>—</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90"/>
              <w:ind w:left="186"/>
              <w:rPr>
                <w:sz w:val="24"/>
              </w:rPr>
            </w:pPr>
            <w:r>
              <w:rPr>
                <w:sz w:val="24"/>
              </w:rPr>
              <w:t>(1)思想政治课</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调研课次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课次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4"/>
              <w:jc w:val="center"/>
              <w:rPr>
                <w:sz w:val="24"/>
              </w:rPr>
            </w:pPr>
            <w:r>
              <w:rPr>
                <w:sz w:val="24"/>
              </w:rPr>
              <w:t>20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6"/>
              <w:jc w:val="center"/>
              <w:rPr>
                <w:sz w:val="24"/>
              </w:rPr>
            </w:pPr>
            <w:r>
              <w:rPr>
                <w:sz w:val="24"/>
              </w:rPr>
              <w:t>10</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5"/>
              </w:rPr>
            </w:pPr>
          </w:p>
          <w:p>
            <w:pPr>
              <w:pStyle w:val="TableParagraph"/>
              <w:spacing w:line="183" w:lineRule="exact"/>
              <w:ind w:left="362"/>
              <w:rPr>
                <w:sz w:val="18"/>
              </w:rPr>
            </w:pPr>
            <w:r>
              <w:rPr>
                <w:position w:val="-3"/>
                <w:sz w:val="18"/>
              </w:rPr>
              <w:drawing>
                <wp:inline distT="0" distB="0" distL="0" distR="0">
                  <wp:extent cx="66008" cy="116300"/>
                  <wp:effectExtent l="0" t="0" r="0" b="0"/>
                  <wp:docPr id="91" name="image48.png"/>
                  <wp:cNvGraphicFramePr>
                    <a:graphicFrameLocks noChangeAspect="1"/>
                  </wp:cNvGraphicFramePr>
                  <a:graphic>
                    <a:graphicData uri="http://schemas.openxmlformats.org/drawingml/2006/picture">
                      <pic:pic>
                        <pic:nvPicPr>
                          <pic:cNvPr id="92" name="image48.png"/>
                          <pic:cNvPicPr/>
                        </pic:nvPicPr>
                        <pic:blipFill>
                          <a:blip r:embed="rId60" cstate="print"/>
                          <a:stretch>
                            <a:fillRect/>
                          </a:stretch>
                        </pic:blipFill>
                        <pic:spPr>
                          <a:xfrm>
                            <a:off x="0" y="0"/>
                            <a:ext cx="66008" cy="116300"/>
                          </a:xfrm>
                          <a:prstGeom prst="rect">
                            <a:avLst/>
                          </a:prstGeom>
                        </pic:spPr>
                      </pic:pic>
                    </a:graphicData>
                  </a:graphic>
                </wp:inline>
              </w:drawing>
            </w:r>
            <w:r>
              <w:rPr>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99.12</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4"/>
              <w:rPr>
                <w:sz w:val="24"/>
              </w:rPr>
            </w:pPr>
            <w:r>
              <w:rPr>
                <w:sz w:val="24"/>
              </w:rPr>
              <w:t>98.47</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2" w:lineRule="auto" w:before="34"/>
              <w:ind w:left="315" w:right="97" w:hanging="149"/>
              <w:rPr>
                <w:sz w:val="24"/>
              </w:rPr>
            </w:pPr>
            <w:r>
              <w:rPr>
                <w:spacing w:val="-21"/>
                <w:sz w:val="24"/>
              </w:rPr>
              <w:t>(2</w:t>
            </w:r>
            <w:r>
              <w:rPr>
                <w:spacing w:val="-34"/>
                <w:sz w:val="24"/>
              </w:rPr>
              <w:t>)公共基础课(不</w:t>
            </w:r>
            <w:r>
              <w:rPr>
                <w:spacing w:val="-36"/>
                <w:sz w:val="24"/>
              </w:rPr>
              <w:t>含思想政治课)</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调研课次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课次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4"/>
              <w:jc w:val="center"/>
              <w:rPr>
                <w:sz w:val="24"/>
              </w:rPr>
            </w:pPr>
            <w:r>
              <w:rPr>
                <w:sz w:val="24"/>
              </w:rPr>
              <w:t>20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27"/>
              <w:jc w:val="center"/>
              <w:rPr>
                <w:sz w:val="24"/>
              </w:rPr>
            </w:pPr>
            <w:r>
              <w:rPr>
                <w:sz w:val="24"/>
              </w:rPr>
              <w:t>8</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5"/>
              </w:rPr>
            </w:pPr>
          </w:p>
          <w:p>
            <w:pPr>
              <w:pStyle w:val="TableParagraph"/>
              <w:spacing w:line="183" w:lineRule="exact"/>
              <w:ind w:left="362"/>
              <w:rPr>
                <w:sz w:val="18"/>
              </w:rPr>
            </w:pPr>
            <w:r>
              <w:rPr>
                <w:position w:val="-3"/>
                <w:sz w:val="18"/>
              </w:rPr>
              <w:drawing>
                <wp:inline distT="0" distB="0" distL="0" distR="0">
                  <wp:extent cx="66008" cy="116300"/>
                  <wp:effectExtent l="0" t="0" r="0" b="0"/>
                  <wp:docPr id="93" name="image48.png"/>
                  <wp:cNvGraphicFramePr>
                    <a:graphicFrameLocks noChangeAspect="1"/>
                  </wp:cNvGraphicFramePr>
                  <a:graphic>
                    <a:graphicData uri="http://schemas.openxmlformats.org/drawingml/2006/picture">
                      <pic:pic>
                        <pic:nvPicPr>
                          <pic:cNvPr id="94" name="image48.png"/>
                          <pic:cNvPicPr/>
                        </pic:nvPicPr>
                        <pic:blipFill>
                          <a:blip r:embed="rId60" cstate="print"/>
                          <a:stretch>
                            <a:fillRect/>
                          </a:stretch>
                        </pic:blipFill>
                        <pic:spPr>
                          <a:xfrm>
                            <a:off x="0" y="0"/>
                            <a:ext cx="66008" cy="116300"/>
                          </a:xfrm>
                          <a:prstGeom prst="rect">
                            <a:avLst/>
                          </a:prstGeom>
                        </pic:spPr>
                      </pic:pic>
                    </a:graphicData>
                  </a:graphic>
                </wp:inline>
              </w:drawing>
            </w:r>
            <w:r>
              <w:rPr>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98.86</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4"/>
              <w:rPr>
                <w:sz w:val="24"/>
              </w:rPr>
            </w:pPr>
            <w:r>
              <w:rPr>
                <w:sz w:val="24"/>
              </w:rPr>
              <w:t>96.31</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90"/>
              <w:ind w:left="186"/>
              <w:rPr>
                <w:sz w:val="24"/>
              </w:rPr>
            </w:pPr>
            <w:r>
              <w:rPr>
                <w:sz w:val="24"/>
              </w:rPr>
              <w:t>(3)专业课教学</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调研课次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课次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4"/>
              <w:jc w:val="center"/>
              <w:rPr>
                <w:sz w:val="24"/>
              </w:rPr>
            </w:pPr>
            <w:r>
              <w:rPr>
                <w:sz w:val="24"/>
              </w:rPr>
              <w:t>15</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6"/>
              <w:jc w:val="center"/>
              <w:rPr>
                <w:sz w:val="24"/>
              </w:rPr>
            </w:pPr>
            <w:r>
              <w:rPr>
                <w:sz w:val="24"/>
              </w:rPr>
              <w:t>30</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5"/>
              </w:rPr>
            </w:pPr>
          </w:p>
          <w:p>
            <w:pPr>
              <w:pStyle w:val="TableParagraph"/>
              <w:spacing w:line="183" w:lineRule="exact"/>
              <w:ind w:left="362"/>
              <w:rPr>
                <w:sz w:val="18"/>
              </w:rPr>
            </w:pPr>
            <w:r>
              <w:rPr>
                <w:position w:val="-3"/>
                <w:sz w:val="18"/>
              </w:rPr>
              <w:drawing>
                <wp:inline distT="0" distB="0" distL="0" distR="0">
                  <wp:extent cx="66008" cy="116300"/>
                  <wp:effectExtent l="0" t="0" r="0" b="0"/>
                  <wp:docPr id="95" name="image48.png"/>
                  <wp:cNvGraphicFramePr>
                    <a:graphicFrameLocks noChangeAspect="1"/>
                  </wp:cNvGraphicFramePr>
                  <a:graphic>
                    <a:graphicData uri="http://schemas.openxmlformats.org/drawingml/2006/picture">
                      <pic:pic>
                        <pic:nvPicPr>
                          <pic:cNvPr id="96" name="image48.png"/>
                          <pic:cNvPicPr/>
                        </pic:nvPicPr>
                        <pic:blipFill>
                          <a:blip r:embed="rId60" cstate="print"/>
                          <a:stretch>
                            <a:fillRect/>
                          </a:stretch>
                        </pic:blipFill>
                        <pic:spPr>
                          <a:xfrm>
                            <a:off x="0" y="0"/>
                            <a:ext cx="66008" cy="116300"/>
                          </a:xfrm>
                          <a:prstGeom prst="rect">
                            <a:avLst/>
                          </a:prstGeom>
                        </pic:spPr>
                      </pic:pic>
                    </a:graphicData>
                  </a:graphic>
                </wp:inline>
              </w:drawing>
            </w:r>
            <w:r>
              <w:rPr>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96.54</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4"/>
              <w:rPr>
                <w:sz w:val="24"/>
              </w:rPr>
            </w:pPr>
            <w:r>
              <w:rPr>
                <w:sz w:val="24"/>
              </w:rPr>
              <w:t>98.47</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spacing w:before="167"/>
              <w:ind w:left="149"/>
              <w:rPr>
                <w:sz w:val="24"/>
              </w:rPr>
            </w:pPr>
            <w:r>
              <w:rPr>
                <w:sz w:val="24"/>
              </w:rPr>
              <w:t>4</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1"/>
              <w:rPr>
                <w:sz w:val="24"/>
              </w:rPr>
            </w:pPr>
            <w:r>
              <w:rPr>
                <w:sz w:val="24"/>
              </w:rPr>
              <w:t>管理和服务工作满意度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29"/>
              <w:jc w:val="center"/>
              <w:rPr>
                <w:sz w:val="24"/>
              </w:rPr>
            </w:pPr>
            <w:r>
              <w:rPr>
                <w:sz w:val="24"/>
              </w:rPr>
              <w:t>—</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90"/>
              <w:ind w:left="306"/>
              <w:rPr>
                <w:sz w:val="24"/>
              </w:rPr>
            </w:pPr>
            <w:r>
              <w:rPr>
                <w:sz w:val="24"/>
              </w:rPr>
              <w:t>(1)学生工作</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200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4"/>
              <w:rPr>
                <w:sz w:val="24"/>
              </w:rPr>
            </w:pPr>
            <w:r>
              <w:rPr>
                <w:sz w:val="24"/>
              </w:rPr>
              <w:t>200</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5"/>
              </w:rPr>
            </w:pPr>
          </w:p>
          <w:p>
            <w:pPr>
              <w:pStyle w:val="TableParagraph"/>
              <w:spacing w:line="183" w:lineRule="exact"/>
              <w:ind w:left="362"/>
              <w:rPr>
                <w:sz w:val="18"/>
              </w:rPr>
            </w:pPr>
            <w:r>
              <w:rPr>
                <w:position w:val="-3"/>
                <w:sz w:val="18"/>
              </w:rPr>
              <w:drawing>
                <wp:inline distT="0" distB="0" distL="0" distR="0">
                  <wp:extent cx="66008" cy="116300"/>
                  <wp:effectExtent l="0" t="0" r="0" b="0"/>
                  <wp:docPr id="97" name="image48.png"/>
                  <wp:cNvGraphicFramePr>
                    <a:graphicFrameLocks noChangeAspect="1"/>
                  </wp:cNvGraphicFramePr>
                  <a:graphic>
                    <a:graphicData uri="http://schemas.openxmlformats.org/drawingml/2006/picture">
                      <pic:pic>
                        <pic:nvPicPr>
                          <pic:cNvPr id="98" name="image48.png"/>
                          <pic:cNvPicPr/>
                        </pic:nvPicPr>
                        <pic:blipFill>
                          <a:blip r:embed="rId60" cstate="print"/>
                          <a:stretch>
                            <a:fillRect/>
                          </a:stretch>
                        </pic:blipFill>
                        <pic:spPr>
                          <a:xfrm>
                            <a:off x="0" y="0"/>
                            <a:ext cx="66008" cy="116300"/>
                          </a:xfrm>
                          <a:prstGeom prst="rect">
                            <a:avLst/>
                          </a:prstGeom>
                        </pic:spPr>
                      </pic:pic>
                    </a:graphicData>
                  </a:graphic>
                </wp:inline>
              </w:drawing>
            </w:r>
            <w:r>
              <w:rPr>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245"/>
              <w:rPr>
                <w:sz w:val="24"/>
              </w:rPr>
            </w:pPr>
            <w:r>
              <w:rPr>
                <w:sz w:val="24"/>
              </w:rPr>
              <w:t>97.5</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244"/>
              <w:rPr>
                <w:sz w:val="24"/>
              </w:rPr>
            </w:pPr>
            <w:r>
              <w:rPr>
                <w:sz w:val="24"/>
              </w:rPr>
              <w:t>96.5</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90"/>
              <w:ind w:left="306"/>
              <w:rPr>
                <w:sz w:val="24"/>
              </w:rPr>
            </w:pPr>
            <w:r>
              <w:rPr>
                <w:sz w:val="24"/>
              </w:rPr>
              <w:t>(2)教学管理</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200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4"/>
              <w:rPr>
                <w:sz w:val="24"/>
              </w:rPr>
            </w:pPr>
            <w:r>
              <w:rPr>
                <w:sz w:val="24"/>
              </w:rPr>
              <w:t>200</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5"/>
              </w:rPr>
            </w:pPr>
          </w:p>
          <w:p>
            <w:pPr>
              <w:pStyle w:val="TableParagraph"/>
              <w:spacing w:line="183" w:lineRule="exact"/>
              <w:ind w:left="362"/>
              <w:rPr>
                <w:sz w:val="18"/>
              </w:rPr>
            </w:pPr>
            <w:r>
              <w:rPr>
                <w:position w:val="-3"/>
                <w:sz w:val="18"/>
              </w:rPr>
              <w:drawing>
                <wp:inline distT="0" distB="0" distL="0" distR="0">
                  <wp:extent cx="66008" cy="116300"/>
                  <wp:effectExtent l="0" t="0" r="0" b="0"/>
                  <wp:docPr id="99" name="image48.png"/>
                  <wp:cNvGraphicFramePr>
                    <a:graphicFrameLocks noChangeAspect="1"/>
                  </wp:cNvGraphicFramePr>
                  <a:graphic>
                    <a:graphicData uri="http://schemas.openxmlformats.org/drawingml/2006/picture">
                      <pic:pic>
                        <pic:nvPicPr>
                          <pic:cNvPr id="100" name="image48.png"/>
                          <pic:cNvPicPr/>
                        </pic:nvPicPr>
                        <pic:blipFill>
                          <a:blip r:embed="rId60" cstate="print"/>
                          <a:stretch>
                            <a:fillRect/>
                          </a:stretch>
                        </pic:blipFill>
                        <pic:spPr>
                          <a:xfrm>
                            <a:off x="0" y="0"/>
                            <a:ext cx="66008" cy="116300"/>
                          </a:xfrm>
                          <a:prstGeom prst="rect">
                            <a:avLst/>
                          </a:prstGeom>
                        </pic:spPr>
                      </pic:pic>
                    </a:graphicData>
                  </a:graphic>
                </wp:inline>
              </w:drawing>
            </w:r>
            <w:r>
              <w:rPr>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4"/>
              <w:jc w:val="center"/>
              <w:rPr>
                <w:sz w:val="24"/>
              </w:rPr>
            </w:pPr>
            <w:r>
              <w:rPr>
                <w:sz w:val="24"/>
              </w:rPr>
              <w:t>98</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6"/>
              <w:jc w:val="center"/>
              <w:rPr>
                <w:sz w:val="24"/>
              </w:rPr>
            </w:pPr>
            <w:r>
              <w:rPr>
                <w:sz w:val="24"/>
              </w:rPr>
              <w:t>98</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90"/>
              <w:ind w:left="306"/>
              <w:rPr>
                <w:sz w:val="24"/>
              </w:rPr>
            </w:pPr>
            <w:r>
              <w:rPr>
                <w:sz w:val="24"/>
              </w:rPr>
              <w:t>(3)后勤服务</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200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4"/>
              <w:rPr>
                <w:sz w:val="24"/>
              </w:rPr>
            </w:pPr>
            <w:r>
              <w:rPr>
                <w:sz w:val="24"/>
              </w:rPr>
              <w:t>200</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5"/>
              </w:rPr>
            </w:pPr>
          </w:p>
          <w:p>
            <w:pPr>
              <w:pStyle w:val="TableParagraph"/>
              <w:spacing w:line="183" w:lineRule="exact"/>
              <w:ind w:left="362"/>
              <w:rPr>
                <w:sz w:val="18"/>
              </w:rPr>
            </w:pPr>
            <w:r>
              <w:rPr>
                <w:position w:val="-3"/>
                <w:sz w:val="18"/>
              </w:rPr>
              <w:drawing>
                <wp:inline distT="0" distB="0" distL="0" distR="0">
                  <wp:extent cx="66008" cy="116300"/>
                  <wp:effectExtent l="0" t="0" r="0" b="0"/>
                  <wp:docPr id="101" name="image48.png"/>
                  <wp:cNvGraphicFramePr>
                    <a:graphicFrameLocks noChangeAspect="1"/>
                  </wp:cNvGraphicFramePr>
                  <a:graphic>
                    <a:graphicData uri="http://schemas.openxmlformats.org/drawingml/2006/picture">
                      <pic:pic>
                        <pic:nvPicPr>
                          <pic:cNvPr id="102" name="image48.png"/>
                          <pic:cNvPicPr/>
                        </pic:nvPicPr>
                        <pic:blipFill>
                          <a:blip r:embed="rId60" cstate="print"/>
                          <a:stretch>
                            <a:fillRect/>
                          </a:stretch>
                        </pic:blipFill>
                        <pic:spPr>
                          <a:xfrm>
                            <a:off x="0" y="0"/>
                            <a:ext cx="66008" cy="116300"/>
                          </a:xfrm>
                          <a:prstGeom prst="rect">
                            <a:avLst/>
                          </a:prstGeom>
                        </pic:spPr>
                      </pic:pic>
                    </a:graphicData>
                  </a:graphic>
                </wp:inline>
              </w:drawing>
            </w:r>
            <w:r>
              <w:rPr>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4"/>
              <w:jc w:val="center"/>
              <w:rPr>
                <w:sz w:val="24"/>
              </w:rPr>
            </w:pPr>
            <w:r>
              <w:rPr>
                <w:sz w:val="24"/>
              </w:rPr>
              <w:t>95</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6"/>
              <w:jc w:val="center"/>
              <w:rPr>
                <w:sz w:val="24"/>
              </w:rPr>
            </w:pPr>
            <w:r>
              <w:rPr>
                <w:sz w:val="24"/>
              </w:rPr>
              <w:t>93</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49"/>
              <w:rPr>
                <w:sz w:val="24"/>
              </w:rPr>
            </w:pPr>
            <w:r>
              <w:rPr>
                <w:sz w:val="24"/>
              </w:rPr>
              <w:t>5</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1"/>
              <w:rPr>
                <w:sz w:val="24"/>
              </w:rPr>
            </w:pPr>
            <w:r>
              <w:rPr>
                <w:sz w:val="24"/>
              </w:rPr>
              <w:t>学生参与志愿者活动时间</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156" w:right="127"/>
              <w:jc w:val="center"/>
              <w:rPr>
                <w:sz w:val="24"/>
              </w:rPr>
            </w:pPr>
            <w:r>
              <w:rPr>
                <w:sz w:val="24"/>
              </w:rPr>
              <w:t>人日</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25684</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4"/>
              <w:rPr>
                <w:sz w:val="24"/>
              </w:rPr>
            </w:pPr>
            <w:r>
              <w:rPr>
                <w:sz w:val="24"/>
              </w:rPr>
              <w:t>28961</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spacing w:before="1"/>
              <w:rPr>
                <w:b/>
                <w:sz w:val="22"/>
              </w:rPr>
            </w:pPr>
          </w:p>
          <w:p>
            <w:pPr>
              <w:pStyle w:val="TableParagraph"/>
              <w:ind w:left="149"/>
              <w:rPr>
                <w:sz w:val="24"/>
              </w:rPr>
            </w:pPr>
            <w:r>
              <w:rPr>
                <w:sz w:val="24"/>
              </w:rPr>
              <w:t>6</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1"/>
              <w:rPr>
                <w:sz w:val="24"/>
              </w:rPr>
            </w:pPr>
            <w:r>
              <w:rPr>
                <w:sz w:val="24"/>
              </w:rPr>
              <w:t>学生社团参与度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29"/>
              <w:jc w:val="center"/>
              <w:rPr>
                <w:sz w:val="24"/>
              </w:rPr>
            </w:pPr>
            <w:r>
              <w:rPr>
                <w:sz w:val="24"/>
              </w:rPr>
              <w:t>—</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30"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right w:val="single" w:sz="8" w:space="0" w:color="000000"/>
            </w:tcBorders>
          </w:tcPr>
          <w:p>
            <w:pPr>
              <w:rPr>
                <w:sz w:val="2"/>
                <w:szCs w:val="2"/>
              </w:rPr>
            </w:pP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1"/>
              <w:rPr>
                <w:sz w:val="24"/>
              </w:rPr>
            </w:pPr>
            <w:r>
              <w:rPr>
                <w:sz w:val="24"/>
              </w:rPr>
              <w:t>(1)学生社团数</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300" w:lineRule="exact" w:before="10"/>
              <w:ind w:left="29"/>
              <w:jc w:val="center"/>
              <w:rPr>
                <w:sz w:val="24"/>
              </w:rPr>
            </w:pPr>
            <w:r>
              <w:rPr>
                <w:sz w:val="24"/>
              </w:rPr>
              <w:t>个</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4"/>
              <w:jc w:val="center"/>
              <w:rPr>
                <w:sz w:val="24"/>
              </w:rPr>
            </w:pPr>
            <w:r>
              <w:rPr>
                <w:sz w:val="24"/>
              </w:rPr>
              <w:t>47</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6"/>
              <w:jc w:val="center"/>
              <w:rPr>
                <w:sz w:val="24"/>
              </w:rPr>
            </w:pPr>
            <w:r>
              <w:rPr>
                <w:sz w:val="24"/>
              </w:rPr>
              <w:t>47</w:t>
            </w:r>
          </w:p>
        </w:tc>
        <w:tc>
          <w:tcPr>
            <w:tcW w:w="117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772"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right w:val="single" w:sz="8" w:space="0" w:color="000000"/>
            </w:tcBorders>
          </w:tcPr>
          <w:p>
            <w:pPr>
              <w:rPr>
                <w:sz w:val="2"/>
                <w:szCs w:val="2"/>
              </w:rPr>
            </w:pPr>
          </w:p>
        </w:tc>
        <w:tc>
          <w:tcPr>
            <w:tcW w:w="3299" w:type="dxa"/>
            <w:gridSpan w:val="2"/>
            <w:tcBorders>
              <w:top w:val="single" w:sz="8" w:space="0" w:color="000000"/>
              <w:left w:val="single" w:sz="8" w:space="0" w:color="000000"/>
              <w:right w:val="single" w:sz="8" w:space="0" w:color="000000"/>
            </w:tcBorders>
          </w:tcPr>
          <w:p>
            <w:pPr>
              <w:pStyle w:val="TableParagraph"/>
              <w:rPr>
                <w:b/>
                <w:sz w:val="18"/>
              </w:rPr>
            </w:pPr>
          </w:p>
          <w:p>
            <w:pPr>
              <w:pStyle w:val="TableParagraph"/>
              <w:ind w:left="272"/>
              <w:rPr>
                <w:sz w:val="24"/>
              </w:rPr>
            </w:pPr>
            <w:r>
              <w:rPr>
                <w:sz w:val="24"/>
              </w:rPr>
              <w:t>(2)参与各社团的学生人数</w:t>
            </w:r>
          </w:p>
        </w:tc>
        <w:tc>
          <w:tcPr>
            <w:tcW w:w="825" w:type="dxa"/>
            <w:tcBorders>
              <w:top w:val="single" w:sz="8" w:space="0" w:color="000000"/>
              <w:left w:val="single" w:sz="8" w:space="0" w:color="000000"/>
              <w:right w:val="single" w:sz="8" w:space="0" w:color="000000"/>
            </w:tcBorders>
          </w:tcPr>
          <w:p>
            <w:pPr>
              <w:pStyle w:val="TableParagraph"/>
              <w:rPr>
                <w:b/>
                <w:sz w:val="18"/>
              </w:rPr>
            </w:pPr>
          </w:p>
          <w:p>
            <w:pPr>
              <w:pStyle w:val="TableParagraph"/>
              <w:ind w:left="29"/>
              <w:jc w:val="center"/>
              <w:rPr>
                <w:sz w:val="24"/>
              </w:rPr>
            </w:pPr>
            <w:r>
              <w:rPr>
                <w:sz w:val="24"/>
              </w:rPr>
              <w:t>人</w:t>
            </w:r>
          </w:p>
        </w:tc>
        <w:tc>
          <w:tcPr>
            <w:tcW w:w="961" w:type="dxa"/>
            <w:tcBorders>
              <w:top w:val="single" w:sz="8" w:space="0" w:color="000000"/>
              <w:left w:val="single" w:sz="8" w:space="0" w:color="000000"/>
              <w:right w:val="single" w:sz="8" w:space="0" w:color="000000"/>
            </w:tcBorders>
          </w:tcPr>
          <w:p>
            <w:pPr>
              <w:pStyle w:val="TableParagraph"/>
              <w:spacing w:line="306" w:lineRule="exact"/>
              <w:ind w:left="245"/>
              <w:rPr>
                <w:sz w:val="24"/>
              </w:rPr>
            </w:pPr>
            <w:r>
              <w:rPr>
                <w:sz w:val="24"/>
              </w:rPr>
              <w:t>3355</w:t>
            </w:r>
          </w:p>
        </w:tc>
        <w:tc>
          <w:tcPr>
            <w:tcW w:w="961" w:type="dxa"/>
            <w:tcBorders>
              <w:top w:val="single" w:sz="8" w:space="0" w:color="000000"/>
              <w:left w:val="single" w:sz="8" w:space="0" w:color="000000"/>
              <w:right w:val="single" w:sz="8" w:space="0" w:color="000000"/>
            </w:tcBorders>
          </w:tcPr>
          <w:p>
            <w:pPr>
              <w:pStyle w:val="TableParagraph"/>
              <w:spacing w:line="306" w:lineRule="exact"/>
              <w:ind w:left="244"/>
              <w:rPr>
                <w:sz w:val="24"/>
              </w:rPr>
            </w:pPr>
            <w:r>
              <w:rPr>
                <w:sz w:val="24"/>
              </w:rPr>
              <w:t>2583</w:t>
            </w:r>
          </w:p>
        </w:tc>
        <w:tc>
          <w:tcPr>
            <w:tcW w:w="1174" w:type="dxa"/>
            <w:tcBorders>
              <w:top w:val="single" w:sz="8" w:space="0" w:color="000000"/>
              <w:left w:val="single" w:sz="8" w:space="0" w:color="000000"/>
            </w:tcBorders>
          </w:tcPr>
          <w:p>
            <w:pPr>
              <w:pStyle w:val="TableParagraph"/>
              <w:spacing w:line="242" w:lineRule="auto"/>
              <w:ind w:left="142" w:right="106"/>
              <w:jc w:val="both"/>
              <w:rPr>
                <w:sz w:val="15"/>
              </w:rPr>
            </w:pPr>
            <w:r>
              <w:rPr>
                <w:sz w:val="15"/>
              </w:rPr>
              <w:t>指分别参与不同社团活动的人数，须逐一</w:t>
            </w:r>
          </w:p>
          <w:p>
            <w:pPr>
              <w:pStyle w:val="TableParagraph"/>
              <w:spacing w:line="175" w:lineRule="exact"/>
              <w:ind w:left="365"/>
              <w:rPr>
                <w:sz w:val="15"/>
              </w:rPr>
            </w:pPr>
            <w:r>
              <w:rPr>
                <w:sz w:val="15"/>
              </w:rPr>
              <w:t>列出。</w:t>
            </w:r>
          </w:p>
        </w:tc>
      </w:tr>
    </w:tbl>
    <w:p>
      <w:pPr>
        <w:pStyle w:val="Heading2"/>
        <w:spacing w:before="81"/>
        <w:ind w:left="1418" w:firstLine="0"/>
        <w:rPr>
          <w:rFonts w:ascii="宋体" w:eastAsia="宋体" w:hint="eastAsia"/>
        </w:rPr>
      </w:pPr>
      <w:r>
        <w:rPr>
          <w:rFonts w:ascii="宋体" w:eastAsia="宋体" w:hint="eastAsia"/>
        </w:rPr>
        <w:t>具体人数统计情况为：</w:t>
      </w:r>
    </w:p>
    <w:p>
      <w:pPr>
        <w:pStyle w:val="BodyText"/>
        <w:spacing w:line="364" w:lineRule="auto" w:before="161"/>
        <w:ind w:left="1418" w:right="1333" w:firstLine="480"/>
      </w:pPr>
      <w:r>
        <w:rPr>
          <w:spacing w:val="-2"/>
        </w:rPr>
        <w:t>九黎音协：</w:t>
      </w:r>
      <w:r>
        <w:rPr>
          <w:spacing w:val="-8"/>
        </w:rPr>
        <w:t>222</w:t>
      </w:r>
      <w:r>
        <w:rPr>
          <w:spacing w:val="-12"/>
        </w:rPr>
        <w:t> 人；数学建模协会：</w:t>
      </w:r>
      <w:r>
        <w:rPr>
          <w:spacing w:val="-11"/>
        </w:rPr>
        <w:t>85</w:t>
      </w:r>
      <w:r>
        <w:rPr>
          <w:spacing w:val="-13"/>
        </w:rPr>
        <w:t> 人；跆拳道协会：</w:t>
      </w:r>
      <w:r>
        <w:rPr>
          <w:spacing w:val="-10"/>
        </w:rPr>
        <w:t>77</w:t>
      </w:r>
      <w:r>
        <w:rPr>
          <w:spacing w:val="-15"/>
        </w:rPr>
        <w:t> 人；爱心协会：</w:t>
      </w:r>
      <w:r>
        <w:rPr>
          <w:spacing w:val="-8"/>
        </w:rPr>
        <w:t>154</w:t>
      </w:r>
      <w:r>
        <w:rPr>
          <w:spacing w:val="-24"/>
        </w:rPr>
        <w:t> 人； </w:t>
      </w:r>
      <w:r>
        <w:rPr>
          <w:spacing w:val="-1"/>
        </w:rPr>
        <w:t>崇武协会：</w:t>
      </w:r>
      <w:r>
        <w:rPr>
          <w:spacing w:val="-3"/>
        </w:rPr>
        <w:t>105</w:t>
      </w:r>
      <w:r>
        <w:rPr>
          <w:spacing w:val="-11"/>
        </w:rPr>
        <w:t> 人；风祭协会：</w:t>
      </w:r>
      <w:r>
        <w:rPr>
          <w:spacing w:val="-3"/>
        </w:rPr>
        <w:t>130</w:t>
      </w:r>
      <w:r>
        <w:rPr>
          <w:spacing w:val="-11"/>
        </w:rPr>
        <w:t> 人；跑酷协会：</w:t>
      </w:r>
      <w:r>
        <w:rPr>
          <w:spacing w:val="-3"/>
        </w:rPr>
        <w:t>134</w:t>
      </w:r>
      <w:r>
        <w:rPr>
          <w:spacing w:val="-10"/>
        </w:rPr>
        <w:t> 人；拓绿环保协会：</w:t>
      </w:r>
      <w:r>
        <w:rPr>
          <w:spacing w:val="-3"/>
        </w:rPr>
        <w:t>150</w:t>
      </w:r>
      <w:r>
        <w:rPr>
          <w:spacing w:val="-18"/>
        </w:rPr>
        <w:t> 人；无</w:t>
      </w:r>
      <w:r>
        <w:rPr>
          <w:spacing w:val="-16"/>
        </w:rPr>
        <w:t>人机协会：</w:t>
      </w:r>
      <w:r>
        <w:rPr>
          <w:spacing w:val="-4"/>
        </w:rPr>
        <w:t>108</w:t>
      </w:r>
      <w:r>
        <w:rPr>
          <w:spacing w:val="-10"/>
        </w:rPr>
        <w:t> 人；湘雅书法协会：</w:t>
      </w:r>
      <w:r>
        <w:rPr>
          <w:spacing w:val="-4"/>
        </w:rPr>
        <w:t>76</w:t>
      </w:r>
      <w:r>
        <w:rPr>
          <w:spacing w:val="-11"/>
        </w:rPr>
        <w:t> 人；校辩论队：</w:t>
      </w:r>
      <w:r>
        <w:rPr>
          <w:spacing w:val="-3"/>
        </w:rPr>
        <w:t>120</w:t>
      </w:r>
      <w:r>
        <w:rPr>
          <w:spacing w:val="-10"/>
        </w:rPr>
        <w:t> 人；艺术形象协会：</w:t>
      </w:r>
      <w:r>
        <w:rPr>
          <w:spacing w:val="-4"/>
        </w:rPr>
        <w:t>130</w:t>
      </w:r>
      <w:r>
        <w:rPr>
          <w:spacing w:val="-26"/>
        </w:rPr>
        <w:t> 人； </w:t>
      </w:r>
      <w:r>
        <w:rPr/>
        <w:t>ACE</w:t>
      </w:r>
      <w:r>
        <w:rPr>
          <w:spacing w:val="-11"/>
        </w:rPr>
        <w:t> 网球协会：</w:t>
      </w:r>
      <w:r>
        <w:rPr>
          <w:spacing w:val="-6"/>
        </w:rPr>
        <w:t>101</w:t>
      </w:r>
      <w:r>
        <w:rPr>
          <w:spacing w:val="-10"/>
        </w:rPr>
        <w:t> 人；化工学院辩论队：</w:t>
      </w:r>
      <w:r>
        <w:rPr>
          <w:spacing w:val="-6"/>
        </w:rPr>
        <w:t>152</w:t>
      </w:r>
      <w:r>
        <w:rPr>
          <w:spacing w:val="-22"/>
        </w:rPr>
        <w:t> 人；</w:t>
      </w:r>
      <w:r>
        <w:rPr>
          <w:spacing w:val="-6"/>
        </w:rPr>
        <w:t>CAD</w:t>
      </w:r>
      <w:r>
        <w:rPr>
          <w:spacing w:val="-17"/>
        </w:rPr>
        <w:t> 协会：</w:t>
      </w:r>
      <w:r>
        <w:rPr>
          <w:spacing w:val="-6"/>
        </w:rPr>
        <w:t>135</w:t>
      </w:r>
      <w:r>
        <w:rPr>
          <w:spacing w:val="-12"/>
        </w:rPr>
        <w:t> 人；曳步舞协会：</w:t>
      </w:r>
      <w:r>
        <w:rPr>
          <w:spacing w:val="-6"/>
        </w:rPr>
        <w:t>128 </w:t>
      </w:r>
      <w:r>
        <w:rPr/>
        <w:t>人；苍穹棋社：118</w:t>
      </w:r>
      <w:r>
        <w:rPr>
          <w:spacing w:val="-8"/>
        </w:rPr>
        <w:t> 人；创新创业协会</w:t>
      </w:r>
      <w:r>
        <w:rPr/>
        <w:t>：162</w:t>
      </w:r>
      <w:r>
        <w:rPr>
          <w:spacing w:val="-9"/>
        </w:rPr>
        <w:t> 人；电竞社：</w:t>
      </w:r>
      <w:r>
        <w:rPr/>
        <w:t>149</w:t>
      </w:r>
      <w:r>
        <w:rPr>
          <w:spacing w:val="-9"/>
        </w:rPr>
        <w:t> 人；滑板协会</w:t>
      </w:r>
      <w:r>
        <w:rPr/>
        <w:t>：135</w:t>
      </w:r>
      <w:r>
        <w:rPr>
          <w:spacing w:val="-20"/>
        </w:rPr>
        <w:t> 人；</w:t>
      </w:r>
    </w:p>
    <w:p>
      <w:pPr>
        <w:spacing w:after="0" w:line="364" w:lineRule="auto"/>
        <w:sectPr>
          <w:pgSz w:w="11910" w:h="16840"/>
          <w:pgMar w:header="780" w:footer="1241" w:top="1260" w:bottom="1440" w:left="0" w:right="0"/>
        </w:sectPr>
      </w:pPr>
    </w:p>
    <w:p>
      <w:pPr>
        <w:pStyle w:val="BodyText"/>
        <w:rPr>
          <w:sz w:val="12"/>
        </w:rPr>
      </w:pPr>
    </w:p>
    <w:p>
      <w:pPr>
        <w:pStyle w:val="BodyText"/>
        <w:spacing w:line="364" w:lineRule="auto" w:before="66"/>
        <w:ind w:left="1418" w:right="1333"/>
      </w:pPr>
      <w:r>
        <w:rPr>
          <w:spacing w:val="-1"/>
        </w:rPr>
        <w:t>化工协会：</w:t>
      </w:r>
      <w:r>
        <w:rPr>
          <w:spacing w:val="-4"/>
        </w:rPr>
        <w:t>196</w:t>
      </w:r>
      <w:r>
        <w:rPr>
          <w:spacing w:val="-9"/>
        </w:rPr>
        <w:t> 人；英语百分百协会：</w:t>
      </w:r>
      <w:r>
        <w:rPr>
          <w:spacing w:val="-3"/>
        </w:rPr>
        <w:t>124</w:t>
      </w:r>
      <w:r>
        <w:rPr>
          <w:spacing w:val="-11"/>
        </w:rPr>
        <w:t> 人；化妆品协会：</w:t>
      </w:r>
      <w:r>
        <w:rPr>
          <w:spacing w:val="-3"/>
        </w:rPr>
        <w:t>134</w:t>
      </w:r>
      <w:r>
        <w:rPr>
          <w:spacing w:val="-12"/>
        </w:rPr>
        <w:t> 人；排球协会：</w:t>
      </w:r>
      <w:r>
        <w:rPr>
          <w:spacing w:val="-5"/>
        </w:rPr>
        <w:t>87</w:t>
      </w:r>
      <w:r>
        <w:rPr>
          <w:spacing w:val="-26"/>
        </w:rPr>
        <w:t> 人； </w:t>
      </w:r>
      <w:r>
        <w:rPr/>
        <w:t>霹雳乒协：144</w:t>
      </w:r>
      <w:r>
        <w:rPr>
          <w:spacing w:val="-30"/>
        </w:rPr>
        <w:t> 人</w:t>
      </w:r>
      <w:r>
        <w:rPr/>
        <w:t>；JD</w:t>
      </w:r>
      <w:r>
        <w:rPr>
          <w:spacing w:val="-20"/>
        </w:rPr>
        <w:t> 舞社</w:t>
      </w:r>
      <w:r>
        <w:rPr/>
        <w:t>：121</w:t>
      </w:r>
      <w:r>
        <w:rPr>
          <w:spacing w:val="-8"/>
        </w:rPr>
        <w:t> 人；海韵合唱团</w:t>
      </w:r>
      <w:r>
        <w:rPr/>
        <w:t>：133</w:t>
      </w:r>
      <w:r>
        <w:rPr>
          <w:spacing w:val="-11"/>
        </w:rPr>
        <w:t> 人；话剧社</w:t>
      </w:r>
      <w:r>
        <w:rPr/>
        <w:t>：97</w:t>
      </w:r>
      <w:r>
        <w:rPr>
          <w:spacing w:val="-9"/>
        </w:rPr>
        <w:t> 人；篮球社： 159</w:t>
      </w:r>
      <w:r>
        <w:rPr>
          <w:spacing w:val="-5"/>
        </w:rPr>
        <w:t> 人；窍星手工社：</w:t>
      </w:r>
      <w:r>
        <w:rPr/>
        <w:t>149</w:t>
      </w:r>
      <w:r>
        <w:rPr>
          <w:spacing w:val="-5"/>
        </w:rPr>
        <w:t> 人；斯年国学社：</w:t>
      </w:r>
      <w:r>
        <w:rPr/>
        <w:t>124</w:t>
      </w:r>
      <w:r>
        <w:rPr>
          <w:spacing w:val="-6"/>
        </w:rPr>
        <w:t> 人；田径社：</w:t>
      </w:r>
      <w:r>
        <w:rPr/>
        <w:t>78</w:t>
      </w:r>
      <w:r>
        <w:rPr>
          <w:spacing w:val="-6"/>
        </w:rPr>
        <w:t> 人；演讲协会：</w:t>
      </w:r>
      <w:r>
        <w:rPr/>
        <w:t>159 人；英语俱乐部：149</w:t>
      </w:r>
      <w:r>
        <w:rPr>
          <w:spacing w:val="-8"/>
        </w:rPr>
        <w:t> 人；电商协会</w:t>
      </w:r>
      <w:r>
        <w:rPr/>
        <w:t>：136</w:t>
      </w:r>
      <w:r>
        <w:rPr>
          <w:spacing w:val="-7"/>
        </w:rPr>
        <w:t> 人；商学院辩论队：</w:t>
      </w:r>
      <w:r>
        <w:rPr/>
        <w:t>87</w:t>
      </w:r>
      <w:r>
        <w:rPr>
          <w:spacing w:val="-7"/>
        </w:rPr>
        <w:t> 人；会计协会：</w:t>
      </w:r>
      <w:r>
        <w:rPr/>
        <w:t>183 </w:t>
      </w:r>
      <w:r>
        <w:rPr>
          <w:spacing w:val="-4"/>
        </w:rPr>
        <w:t>人；市场营销协会：56</w:t>
      </w:r>
      <w:r>
        <w:rPr>
          <w:spacing w:val="-11"/>
        </w:rPr>
        <w:t> 人；体舞协会：</w:t>
      </w:r>
      <w:r>
        <w:rPr>
          <w:spacing w:val="-3"/>
        </w:rPr>
        <w:t>138</w:t>
      </w:r>
      <w:r>
        <w:rPr>
          <w:spacing w:val="-12"/>
        </w:rPr>
        <w:t> 人；文学社：</w:t>
      </w:r>
      <w:r>
        <w:rPr>
          <w:spacing w:val="-4"/>
        </w:rPr>
        <w:t>69</w:t>
      </w:r>
      <w:r>
        <w:rPr>
          <w:spacing w:val="-11"/>
        </w:rPr>
        <w:t> 人；造价协会：</w:t>
      </w:r>
      <w:r>
        <w:rPr>
          <w:spacing w:val="-3"/>
        </w:rPr>
        <w:t>148</w:t>
      </w:r>
      <w:r>
        <w:rPr>
          <w:spacing w:val="-18"/>
        </w:rPr>
        <w:t> 人；商学院主持人协会：128</w:t>
      </w:r>
      <w:r>
        <w:rPr>
          <w:spacing w:val="-9"/>
        </w:rPr>
        <w:t> 人；羽毛球协会</w:t>
      </w:r>
      <w:r>
        <w:rPr/>
        <w:t>：165</w:t>
      </w:r>
      <w:r>
        <w:rPr>
          <w:spacing w:val="-8"/>
        </w:rPr>
        <w:t> 人；计算机协会：</w:t>
      </w:r>
      <w:r>
        <w:rPr/>
        <w:t>109</w:t>
      </w:r>
      <w:r>
        <w:rPr>
          <w:spacing w:val="-30"/>
        </w:rPr>
        <w:t> 人</w:t>
      </w:r>
      <w:r>
        <w:rPr/>
        <w:t>；TRPG</w:t>
      </w:r>
      <w:r>
        <w:rPr>
          <w:spacing w:val="-20"/>
        </w:rPr>
        <w:t> 协会</w:t>
      </w:r>
      <w:r>
        <w:rPr/>
        <w:t>：87 人；垂钓协会：64</w:t>
      </w:r>
      <w:r>
        <w:rPr>
          <w:spacing w:val="-8"/>
        </w:rPr>
        <w:t> 人；海魂篮球社</w:t>
      </w:r>
      <w:r>
        <w:rPr/>
        <w:t>：143</w:t>
      </w:r>
      <w:r>
        <w:rPr>
          <w:spacing w:val="-20"/>
        </w:rPr>
        <w:t> 人。</w:t>
      </w:r>
    </w:p>
    <w:p>
      <w:pPr>
        <w:pStyle w:val="Heading2"/>
        <w:numPr>
          <w:ilvl w:val="1"/>
          <w:numId w:val="3"/>
        </w:numPr>
        <w:tabs>
          <w:tab w:pos="2471" w:val="left" w:leader="none"/>
          <w:tab w:pos="2472" w:val="left" w:leader="none"/>
        </w:tabs>
        <w:spacing w:line="240" w:lineRule="auto" w:before="81" w:after="0"/>
        <w:ind w:left="2472" w:right="0" w:hanging="574"/>
        <w:jc w:val="left"/>
      </w:pPr>
      <w:bookmarkStart w:name="3.4  专业(群)建设" w:id="138"/>
      <w:bookmarkEnd w:id="138"/>
      <w:r>
        <w:rPr>
          <w:b w:val="0"/>
        </w:rPr>
      </w:r>
      <w:bookmarkStart w:name="_bookmark51" w:id="139"/>
      <w:bookmarkEnd w:id="139"/>
      <w:r>
        <w:rPr>
          <w:b w:val="0"/>
        </w:rPr>
      </w:r>
      <w:bookmarkStart w:name="_bookmark51" w:id="140"/>
      <w:bookmarkEnd w:id="140"/>
      <w:r>
        <w:rPr/>
        <w:t>专业</w:t>
      </w:r>
      <w:r>
        <w:rPr>
          <w:rFonts w:ascii="Arial" w:eastAsia="Arial"/>
        </w:rPr>
        <w:t>(</w:t>
      </w:r>
      <w:r>
        <w:rPr/>
        <w:t>群</w:t>
      </w:r>
      <w:r>
        <w:rPr>
          <w:rFonts w:ascii="Arial" w:eastAsia="Arial"/>
        </w:rPr>
        <w:t>)</w:t>
      </w:r>
      <w:r>
        <w:rPr/>
        <w:t>建设</w:t>
      </w:r>
    </w:p>
    <w:p>
      <w:pPr>
        <w:pStyle w:val="BodyText"/>
        <w:spacing w:before="7"/>
        <w:rPr>
          <w:rFonts w:ascii="黑体"/>
          <w:b/>
        </w:rPr>
      </w:pPr>
    </w:p>
    <w:p>
      <w:pPr>
        <w:pStyle w:val="BodyText"/>
        <w:spacing w:line="364" w:lineRule="auto"/>
        <w:ind w:left="1418" w:right="1417" w:firstLine="480"/>
        <w:jc w:val="both"/>
      </w:pPr>
      <w:r>
        <w:rPr>
          <w:spacing w:val="-6"/>
        </w:rPr>
        <w:t>学院深入贯彻湖南省教育厅《关于印发&lt;湖南深化教育教学改革 全面提高人才培养</w:t>
      </w:r>
      <w:r>
        <w:rPr>
          <w:spacing w:val="-18"/>
        </w:rPr>
        <w:t>质量的实施意见&gt;的通知》、《湖南省贯彻〈中国制造 </w:t>
      </w:r>
      <w:r>
        <w:rPr/>
        <w:t>2025</w:t>
      </w:r>
      <w:r>
        <w:rPr>
          <w:spacing w:val="-1"/>
        </w:rPr>
        <w:t>〉建设制造强省五年行动计划</w:t>
      </w:r>
      <w:r>
        <w:rPr/>
        <w:t>(2016-2020</w:t>
      </w:r>
      <w:r>
        <w:rPr>
          <w:spacing w:val="-45"/>
        </w:rPr>
        <w:t> 年)》</w:t>
      </w:r>
      <w:r>
        <w:rPr>
          <w:spacing w:val="-16"/>
        </w:rPr>
        <w:t>、《湖南高等职业教育创新发展行动计划</w:t>
      </w:r>
      <w:r>
        <w:rPr/>
        <w:t>(2016-2018</w:t>
      </w:r>
      <w:r>
        <w:rPr>
          <w:spacing w:val="-23"/>
        </w:rPr>
        <w:t> 年)实施方案》</w:t>
      </w:r>
      <w:r>
        <w:rPr>
          <w:spacing w:val="-74"/>
        </w:rPr>
        <w:t>、《湖</w:t>
      </w:r>
      <w:r>
        <w:rPr>
          <w:spacing w:val="-4"/>
        </w:rPr>
        <w:t>南省关于加快石油化工重点产业发展的若干政策措施》和《全国石化和化学工业发展规</w:t>
      </w:r>
      <w:r>
        <w:rPr/>
        <w:t>划(2016-2020</w:t>
      </w:r>
      <w:r>
        <w:rPr>
          <w:spacing w:val="-9"/>
        </w:rPr>
        <w:t> 年)》等文件精神，加快特色专业体系建设，促使学院专业设置适应区域</w:t>
      </w:r>
      <w:r>
        <w:rPr>
          <w:spacing w:val="-7"/>
        </w:rPr>
        <w:t>经济发展需求，提高专业整体水平，全面提升技术技能人才培养质量，为湖南省“五化</w:t>
      </w:r>
      <w:r>
        <w:rPr/>
        <w:t>两型”战略和化工产业“转方式、调结构、促升级”提供高素质技术技能人才支撑。</w:t>
      </w:r>
    </w:p>
    <w:p>
      <w:pPr>
        <w:pStyle w:val="Heading2"/>
        <w:numPr>
          <w:ilvl w:val="2"/>
          <w:numId w:val="3"/>
        </w:numPr>
        <w:tabs>
          <w:tab w:pos="2743" w:val="left" w:leader="none"/>
          <w:tab w:pos="2744" w:val="left" w:leader="none"/>
        </w:tabs>
        <w:spacing w:line="240" w:lineRule="auto" w:before="76" w:after="0"/>
        <w:ind w:left="2743" w:right="0" w:hanging="846"/>
        <w:jc w:val="left"/>
      </w:pPr>
      <w:bookmarkStart w:name="3.4.1  对接产业构建专业集群" w:id="141"/>
      <w:bookmarkEnd w:id="141"/>
      <w:r>
        <w:rPr>
          <w:b w:val="0"/>
        </w:rPr>
      </w:r>
      <w:bookmarkStart w:name="_bookmark52" w:id="142"/>
      <w:bookmarkEnd w:id="142"/>
      <w:r>
        <w:rPr>
          <w:b w:val="0"/>
        </w:rPr>
      </w:r>
      <w:bookmarkStart w:name="_bookmark52" w:id="143"/>
      <w:bookmarkEnd w:id="143"/>
      <w:r>
        <w:rPr/>
        <w:t>对接产业构建专业集群</w:t>
      </w:r>
    </w:p>
    <w:p>
      <w:pPr>
        <w:pStyle w:val="BodyText"/>
        <w:spacing w:before="9"/>
        <w:rPr>
          <w:rFonts w:ascii="黑体"/>
          <w:b/>
        </w:rPr>
      </w:pPr>
    </w:p>
    <w:p>
      <w:pPr>
        <w:pStyle w:val="BodyText"/>
        <w:spacing w:line="364" w:lineRule="auto"/>
        <w:ind w:left="1418" w:right="1453" w:firstLine="480"/>
        <w:jc w:val="both"/>
      </w:pPr>
      <w:r>
        <w:rPr>
          <w:spacing w:val="-2"/>
        </w:rPr>
        <w:t>对接“中国制造 </w:t>
      </w:r>
      <w:r>
        <w:rPr/>
        <w:t>2025”绿色制造工程、环洞庭生态经济圈建设和“一带一部”等</w:t>
      </w:r>
      <w:r>
        <w:rPr>
          <w:spacing w:val="-10"/>
        </w:rPr>
        <w:t>国家、省区发展战略，围绕化工新材料、生物医药等重点领域，面向化学工业及其中下</w:t>
      </w:r>
      <w:r>
        <w:rPr>
          <w:spacing w:val="-7"/>
        </w:rPr>
        <w:t>游产业链设置和调整专业，与我省化工产业“北主南辅、中西协同”布局高度契合，突</w:t>
      </w:r>
      <w:r>
        <w:rPr>
          <w:spacing w:val="-11"/>
        </w:rPr>
        <w:t>出重点、以点带面，全面推进我院特色专业体系建设。构建了以化工生产技术和化学与</w:t>
      </w:r>
      <w:r>
        <w:rPr>
          <w:spacing w:val="-7"/>
        </w:rPr>
        <w:t>生物制药技术专业群为核心，以化工智能制造与控制技术、人工智能技术和化工生产运</w:t>
      </w:r>
      <w:r>
        <w:rPr/>
        <w:t>营与管理专业群为环绕服务的专业集群。</w:t>
      </w:r>
    </w:p>
    <w:p>
      <w:pPr>
        <w:pStyle w:val="Heading2"/>
        <w:numPr>
          <w:ilvl w:val="2"/>
          <w:numId w:val="3"/>
        </w:numPr>
        <w:tabs>
          <w:tab w:pos="2743" w:val="left" w:leader="none"/>
          <w:tab w:pos="2744" w:val="left" w:leader="none"/>
        </w:tabs>
        <w:spacing w:line="240" w:lineRule="auto" w:before="1" w:after="0"/>
        <w:ind w:left="2743" w:right="0" w:hanging="846"/>
        <w:jc w:val="left"/>
      </w:pPr>
      <w:bookmarkStart w:name="3.4.2  专业品牌优势明显" w:id="144"/>
      <w:bookmarkEnd w:id="144"/>
      <w:r>
        <w:rPr>
          <w:b w:val="0"/>
        </w:rPr>
      </w:r>
      <w:bookmarkStart w:name="_bookmark53" w:id="145"/>
      <w:bookmarkEnd w:id="145"/>
      <w:r>
        <w:rPr>
          <w:b w:val="0"/>
        </w:rPr>
      </w:r>
      <w:bookmarkStart w:name="_bookmark53" w:id="146"/>
      <w:bookmarkEnd w:id="146"/>
      <w:r>
        <w:rPr/>
        <w:t>专业品牌优势明显</w:t>
      </w:r>
    </w:p>
    <w:p>
      <w:pPr>
        <w:pStyle w:val="BodyText"/>
        <w:spacing w:before="9"/>
        <w:rPr>
          <w:rFonts w:ascii="黑体"/>
          <w:b/>
        </w:rPr>
      </w:pPr>
    </w:p>
    <w:p>
      <w:pPr>
        <w:pStyle w:val="BodyText"/>
        <w:spacing w:line="364" w:lineRule="auto"/>
        <w:ind w:left="1418" w:right="1435" w:firstLine="480"/>
        <w:jc w:val="both"/>
      </w:pPr>
      <w:r>
        <w:rPr>
          <w:spacing w:val="-2"/>
        </w:rPr>
        <w:t>化工职业教育是我国现代职业教育的重要组成部分。</w:t>
      </w:r>
      <w:r>
        <w:rPr/>
        <w:t>2017</w:t>
      </w:r>
      <w:r>
        <w:rPr>
          <w:spacing w:val="-18"/>
        </w:rPr>
        <w:t> 年，全国开设石油和化工</w:t>
      </w:r>
      <w:r>
        <w:rPr>
          <w:spacing w:val="-9"/>
        </w:rPr>
        <w:t>类相关专业的高等院校近 </w:t>
      </w:r>
      <w:r>
        <w:rPr/>
        <w:t>500</w:t>
      </w:r>
      <w:r>
        <w:rPr>
          <w:spacing w:val="-1"/>
        </w:rPr>
        <w:t> 所，含部分本科院校举办的专科层次教育，毕业生规模</w:t>
      </w:r>
    </w:p>
    <w:p>
      <w:pPr>
        <w:pStyle w:val="BodyText"/>
        <w:spacing w:before="1"/>
        <w:ind w:left="1418"/>
      </w:pPr>
      <w:r>
        <w:rPr/>
        <w:t>14000-16000</w:t>
      </w:r>
      <w:r>
        <w:rPr>
          <w:spacing w:val="-13"/>
        </w:rPr>
        <w:t> 人。其中，我省开设化工类专业的高职学院有 </w:t>
      </w:r>
      <w:r>
        <w:rPr/>
        <w:t>7</w:t>
      </w:r>
      <w:r>
        <w:rPr>
          <w:spacing w:val="-9"/>
        </w:rPr>
        <w:t> 所，以化工类专业为主体</w:t>
      </w:r>
    </w:p>
    <w:p>
      <w:pPr>
        <w:pStyle w:val="BodyText"/>
        <w:spacing w:before="161"/>
        <w:ind w:left="1418"/>
      </w:pPr>
      <w:r>
        <w:rPr>
          <w:spacing w:val="-9"/>
        </w:rPr>
        <w:t>的高职学院有 </w:t>
      </w:r>
      <w:r>
        <w:rPr/>
        <w:t>2</w:t>
      </w:r>
      <w:r>
        <w:rPr>
          <w:spacing w:val="-14"/>
        </w:rPr>
        <w:t> 所，开设应用化工技术、精细化工技术等化工类主体专业 </w:t>
      </w:r>
      <w:r>
        <w:rPr/>
        <w:t>8</w:t>
      </w:r>
      <w:r>
        <w:rPr>
          <w:spacing w:val="-16"/>
        </w:rPr>
        <w:t> 个，专业点</w:t>
      </w:r>
    </w:p>
    <w:p>
      <w:pPr>
        <w:pStyle w:val="ListParagraph"/>
        <w:numPr>
          <w:ilvl w:val="0"/>
          <w:numId w:val="4"/>
        </w:numPr>
        <w:tabs>
          <w:tab w:pos="1719" w:val="left" w:leader="none"/>
        </w:tabs>
        <w:spacing w:line="240" w:lineRule="auto" w:before="160" w:after="0"/>
        <w:ind w:left="1718" w:right="0" w:hanging="301"/>
        <w:jc w:val="left"/>
        <w:rPr>
          <w:sz w:val="24"/>
        </w:rPr>
      </w:pPr>
      <w:r>
        <w:rPr>
          <w:sz w:val="24"/>
        </w:rPr>
        <w:t>个。</w:t>
      </w:r>
    </w:p>
    <w:p>
      <w:pPr>
        <w:spacing w:after="0" w:line="240" w:lineRule="auto"/>
        <w:jc w:val="left"/>
        <w:rPr>
          <w:sz w:val="24"/>
        </w:rPr>
        <w:sectPr>
          <w:pgSz w:w="11910" w:h="16840"/>
          <w:pgMar w:header="780" w:footer="1241" w:top="1260" w:bottom="1440" w:left="0" w:right="0"/>
        </w:sectPr>
      </w:pPr>
    </w:p>
    <w:p>
      <w:pPr>
        <w:pStyle w:val="BodyText"/>
        <w:rPr>
          <w:sz w:val="12"/>
        </w:rPr>
      </w:pPr>
    </w:p>
    <w:p>
      <w:pPr>
        <w:pStyle w:val="BodyText"/>
        <w:spacing w:line="364" w:lineRule="auto" w:before="66"/>
        <w:ind w:left="1418" w:right="1365" w:firstLine="480"/>
      </w:pPr>
      <w:r>
        <w:rPr>
          <w:spacing w:val="-1"/>
        </w:rPr>
        <w:t>学院始终根植化工产业办学，以人才培养为核心，以深化改革为动力，以创卓越、</w:t>
      </w:r>
      <w:r>
        <w:rPr>
          <w:spacing w:val="-8"/>
        </w:rPr>
        <w:t>争一流为目标，加快推动内涵发展、特色发展，取得了显著办学成效。学院拥有全国现</w:t>
      </w:r>
      <w:r>
        <w:rPr>
          <w:spacing w:val="-14"/>
        </w:rPr>
        <w:t>代学徒制试点专业 </w:t>
      </w:r>
      <w:r>
        <w:rPr/>
        <w:t>1</w:t>
      </w:r>
      <w:r>
        <w:rPr>
          <w:spacing w:val="-13"/>
        </w:rPr>
        <w:t> 个、省级一流特色专业群 </w:t>
      </w:r>
      <w:r>
        <w:rPr/>
        <w:t>3</w:t>
      </w:r>
      <w:r>
        <w:rPr>
          <w:spacing w:val="-9"/>
        </w:rPr>
        <w:t> 个、省级示范性特色专业(群</w:t>
      </w:r>
      <w:r>
        <w:rPr/>
        <w:t>)2</w:t>
      </w:r>
      <w:r>
        <w:rPr>
          <w:spacing w:val="-18"/>
        </w:rPr>
        <w:t> 个、特</w:t>
      </w:r>
    </w:p>
    <w:p>
      <w:pPr>
        <w:pStyle w:val="BodyText"/>
        <w:spacing w:before="2"/>
        <w:ind w:left="1418"/>
      </w:pPr>
      <w:r>
        <w:rPr>
          <w:spacing w:val="-8"/>
        </w:rPr>
        <w:t>色(精品)专业 </w:t>
      </w:r>
      <w:r>
        <w:rPr/>
        <w:t>4</w:t>
      </w:r>
      <w:r>
        <w:rPr>
          <w:spacing w:val="-14"/>
        </w:rPr>
        <w:t> 个、中央财政支持的重点建设专业 </w:t>
      </w:r>
      <w:r>
        <w:rPr/>
        <w:t>2</w:t>
      </w:r>
      <w:r>
        <w:rPr>
          <w:spacing w:val="-15"/>
        </w:rPr>
        <w:t> 个、专业技能抽查标准 </w:t>
      </w:r>
      <w:r>
        <w:rPr/>
        <w:t>2</w:t>
      </w:r>
      <w:r>
        <w:rPr>
          <w:spacing w:val="-19"/>
        </w:rPr>
        <w:t> 个、中央</w:t>
      </w:r>
    </w:p>
    <w:p>
      <w:pPr>
        <w:pStyle w:val="BodyText"/>
        <w:spacing w:before="160"/>
        <w:ind w:left="1418"/>
        <w:jc w:val="both"/>
      </w:pPr>
      <w:r>
        <w:rPr>
          <w:spacing w:val="-5"/>
        </w:rPr>
        <w:t>财政支持的重点实习实训基地 </w:t>
      </w:r>
      <w:r>
        <w:rPr/>
        <w:t>2</w:t>
      </w:r>
      <w:r>
        <w:rPr>
          <w:spacing w:val="-14"/>
        </w:rPr>
        <w:t> 个、石化行业全国示范性实习实训基地 </w:t>
      </w:r>
      <w:r>
        <w:rPr/>
        <w:t>2</w:t>
      </w:r>
      <w:r>
        <w:rPr>
          <w:spacing w:val="-17"/>
        </w:rPr>
        <w:t> 个、省级生产</w:t>
      </w:r>
    </w:p>
    <w:p>
      <w:pPr>
        <w:pStyle w:val="BodyText"/>
        <w:spacing w:line="364" w:lineRule="auto" w:before="161"/>
        <w:ind w:left="1418" w:right="1453"/>
        <w:jc w:val="both"/>
      </w:pPr>
      <w:r>
        <w:rPr>
          <w:spacing w:val="-10"/>
        </w:rPr>
        <w:t>性实训基地 </w:t>
      </w:r>
      <w:r>
        <w:rPr/>
        <w:t>2</w:t>
      </w:r>
      <w:r>
        <w:rPr>
          <w:spacing w:val="-14"/>
        </w:rPr>
        <w:t> 个。据教育部化工行指委数据分析显示，学院在全国化工类职业院校中综</w:t>
      </w:r>
      <w:r>
        <w:rPr>
          <w:spacing w:val="-8"/>
        </w:rPr>
        <w:t>合实力排名第二。其中，精细化工技术、应用化工技术、工业分析技术与化学制药技术</w:t>
      </w:r>
      <w:r>
        <w:rPr>
          <w:spacing w:val="-3"/>
        </w:rPr>
        <w:t>等核心专业的在校生规模与整体实力在全国 </w:t>
      </w:r>
      <w:r>
        <w:rPr/>
        <w:t>416</w:t>
      </w:r>
      <w:r>
        <w:rPr>
          <w:spacing w:val="-4"/>
        </w:rPr>
        <w:t> 所开设石油和化工类相关专业的高职高专院校中分别排名第一、第二和第三。</w:t>
      </w:r>
    </w:p>
    <w:p>
      <w:pPr>
        <w:pStyle w:val="Heading2"/>
        <w:numPr>
          <w:ilvl w:val="1"/>
          <w:numId w:val="3"/>
        </w:numPr>
        <w:tabs>
          <w:tab w:pos="2471" w:val="left" w:leader="none"/>
          <w:tab w:pos="2472" w:val="left" w:leader="none"/>
        </w:tabs>
        <w:spacing w:line="240" w:lineRule="auto" w:before="79" w:after="0"/>
        <w:ind w:left="2472" w:right="0" w:hanging="574"/>
        <w:jc w:val="left"/>
      </w:pPr>
      <w:bookmarkStart w:name="3.5  教学改革" w:id="147"/>
      <w:bookmarkEnd w:id="147"/>
      <w:r>
        <w:rPr>
          <w:b w:val="0"/>
        </w:rPr>
      </w:r>
      <w:bookmarkStart w:name="_bookmark54" w:id="148"/>
      <w:bookmarkEnd w:id="148"/>
      <w:r>
        <w:rPr>
          <w:b w:val="0"/>
        </w:rPr>
      </w:r>
      <w:bookmarkStart w:name="_bookmark54" w:id="149"/>
      <w:bookmarkEnd w:id="149"/>
      <w:r>
        <w:rPr/>
        <w:t>教学改革</w:t>
      </w:r>
    </w:p>
    <w:p>
      <w:pPr>
        <w:pStyle w:val="BodyText"/>
        <w:spacing w:before="7"/>
        <w:rPr>
          <w:rFonts w:ascii="黑体"/>
          <w:b/>
        </w:rPr>
      </w:pPr>
    </w:p>
    <w:p>
      <w:pPr>
        <w:pStyle w:val="Heading2"/>
        <w:numPr>
          <w:ilvl w:val="2"/>
          <w:numId w:val="3"/>
        </w:numPr>
        <w:tabs>
          <w:tab w:pos="2743" w:val="left" w:leader="none"/>
          <w:tab w:pos="2744" w:val="left" w:leader="none"/>
        </w:tabs>
        <w:spacing w:line="240" w:lineRule="auto" w:before="0" w:after="0"/>
        <w:ind w:left="2743" w:right="0" w:hanging="846"/>
        <w:jc w:val="left"/>
      </w:pPr>
      <w:bookmarkStart w:name="3.5.1  教学标准建设" w:id="150"/>
      <w:bookmarkEnd w:id="150"/>
      <w:r>
        <w:rPr>
          <w:b w:val="0"/>
        </w:rPr>
      </w:r>
      <w:bookmarkStart w:name="_bookmark55" w:id="151"/>
      <w:bookmarkEnd w:id="151"/>
      <w:r>
        <w:rPr>
          <w:b w:val="0"/>
        </w:rPr>
      </w:r>
      <w:bookmarkStart w:name="_bookmark55" w:id="152"/>
      <w:bookmarkEnd w:id="152"/>
      <w:r>
        <w:rPr/>
        <w:t>教学标准建设</w:t>
      </w:r>
    </w:p>
    <w:p>
      <w:pPr>
        <w:pStyle w:val="BodyText"/>
        <w:spacing w:before="9"/>
        <w:rPr>
          <w:rFonts w:ascii="黑体"/>
          <w:b/>
        </w:rPr>
      </w:pPr>
    </w:p>
    <w:p>
      <w:pPr>
        <w:pStyle w:val="BodyText"/>
        <w:spacing w:line="364" w:lineRule="auto"/>
        <w:ind w:left="1418" w:right="1365" w:firstLine="480"/>
      </w:pPr>
      <w:r>
        <w:rPr>
          <w:spacing w:val="-10"/>
        </w:rPr>
        <w:t>学院遵照教育部、湖南省关于高职高专人才培养的有关文件精神和已经颁发的国家</w:t>
      </w:r>
      <w:r>
        <w:rPr>
          <w:spacing w:val="-14"/>
        </w:rPr>
        <w:t>高等职业学校专业教学标准，学院制定了《专业教学计划的原则意见》，每年组织对各</w:t>
      </w:r>
      <w:r>
        <w:rPr>
          <w:spacing w:val="-18"/>
        </w:rPr>
        <w:t>专业人才培养方案进行修订，形成《工学结合专业人才培养方案汇编》。修订的人才培</w:t>
      </w:r>
      <w:r>
        <w:rPr>
          <w:spacing w:val="-12"/>
        </w:rPr>
        <w:t>养方案，切实贯彻落实产教融合、校企合作办学理念，以立德树人为根本，以技术应用</w:t>
      </w:r>
      <w:r>
        <w:rPr>
          <w:spacing w:val="-14"/>
        </w:rPr>
        <w:t>能力培养为主旨，融知识、能力、素质教育于一体，根据技术领域和职业岗位(群)的任</w:t>
      </w:r>
      <w:r>
        <w:rPr>
          <w:spacing w:val="-15"/>
        </w:rPr>
        <w:t>职要求，参照相关职业资格标准，改革课程体系和教学内容，力求体现学院办学特色。</w:t>
      </w:r>
      <w:r>
        <w:rPr>
          <w:spacing w:val="-3"/>
        </w:rPr>
        <w:t>各专业人才培养方案是学校保证教学质量和人才培养规格的重要教学文件，是组织教学</w:t>
      </w:r>
      <w:r>
        <w:rPr>
          <w:spacing w:val="-10"/>
        </w:rPr>
        <w:t>过程、安排教学任务、确定教学编制、评价教学效果、监控教学质量和强化教学管理的</w:t>
      </w:r>
      <w:r>
        <w:rPr>
          <w:spacing w:val="-12"/>
        </w:rPr>
        <w:t>根本遵循。定期组织召开有行业、企业专家和专业骨干教师参与的研讨会，将专业建设和教学改革取得的新成果、新经验固化到新的人才培养方案之中。</w:t>
      </w:r>
    </w:p>
    <w:p>
      <w:pPr>
        <w:pStyle w:val="Heading2"/>
        <w:numPr>
          <w:ilvl w:val="2"/>
          <w:numId w:val="3"/>
        </w:numPr>
        <w:tabs>
          <w:tab w:pos="2743" w:val="left" w:leader="none"/>
          <w:tab w:pos="2744" w:val="left" w:leader="none"/>
        </w:tabs>
        <w:spacing w:line="240" w:lineRule="auto" w:before="6" w:after="0"/>
        <w:ind w:left="2743" w:right="0" w:hanging="846"/>
        <w:jc w:val="left"/>
      </w:pPr>
      <w:bookmarkStart w:name="3.5.2  教学改革" w:id="153"/>
      <w:bookmarkEnd w:id="153"/>
      <w:r>
        <w:rPr>
          <w:b w:val="0"/>
        </w:rPr>
      </w:r>
      <w:bookmarkStart w:name="_bookmark56" w:id="154"/>
      <w:bookmarkEnd w:id="154"/>
      <w:r>
        <w:rPr>
          <w:b w:val="0"/>
        </w:rPr>
      </w:r>
      <w:bookmarkStart w:name="_bookmark56" w:id="155"/>
      <w:bookmarkEnd w:id="155"/>
      <w:r>
        <w:rPr/>
        <w:t>教学改革</w:t>
      </w:r>
    </w:p>
    <w:p>
      <w:pPr>
        <w:pStyle w:val="BodyText"/>
        <w:spacing w:before="9"/>
        <w:rPr>
          <w:rFonts w:ascii="黑体"/>
          <w:b/>
        </w:rPr>
      </w:pPr>
    </w:p>
    <w:p>
      <w:pPr>
        <w:pStyle w:val="BodyText"/>
        <w:spacing w:line="364" w:lineRule="auto"/>
        <w:ind w:left="1418" w:right="1334" w:firstLine="480"/>
        <w:jc w:val="both"/>
      </w:pPr>
      <w:r>
        <w:rPr>
          <w:spacing w:val="-7"/>
        </w:rPr>
        <w:t>为适应当前学生泛在、多元、自主学习需求，学院制定了《</w:t>
      </w:r>
      <w:r>
        <w:rPr/>
        <w:t>MOOC(MOOT)开发与应用</w:t>
      </w:r>
      <w:r>
        <w:rPr>
          <w:spacing w:val="-12"/>
        </w:rPr>
        <w:t>管理办法》《在线开放课程建设实施办法》等，始终坚持以学生职业能力为本，以实现知识、能力、素质综合发展为目标，构建立足技术领域和职业岗位(群)的职业需求及相</w:t>
      </w:r>
      <w:r>
        <w:rPr>
          <w:spacing w:val="-16"/>
        </w:rPr>
        <w:t>关职业资格标准的专业课程体系；以信息化教学试点项目建设为切入点，通过专业特色</w:t>
      </w:r>
      <w:r>
        <w:rPr>
          <w:spacing w:val="-13"/>
        </w:rPr>
        <w:t>资源建设、公共基础课教学创新实践等，促进课程资源开发与应用；以择优遴选和自主</w:t>
      </w:r>
      <w:r>
        <w:rPr>
          <w:spacing w:val="-33"/>
        </w:rPr>
        <w:t>开发相结合为原则，形成包括多媒体、文字图标交互式的高职特色教材，实现教学资源多元化。</w:t>
      </w:r>
    </w:p>
    <w:p>
      <w:pPr>
        <w:spacing w:after="0" w:line="364" w:lineRule="auto"/>
        <w:jc w:val="both"/>
        <w:sectPr>
          <w:pgSz w:w="11910" w:h="16840"/>
          <w:pgMar w:header="780" w:footer="1241" w:top="1260" w:bottom="1440" w:left="0" w:right="0"/>
        </w:sectPr>
      </w:pPr>
    </w:p>
    <w:p>
      <w:pPr>
        <w:pStyle w:val="BodyText"/>
        <w:rPr>
          <w:sz w:val="12"/>
        </w:rPr>
      </w:pPr>
    </w:p>
    <w:p>
      <w:pPr>
        <w:pStyle w:val="BodyText"/>
        <w:spacing w:line="364" w:lineRule="auto" w:before="66"/>
        <w:ind w:left="1418" w:right="1454" w:firstLine="480"/>
        <w:jc w:val="both"/>
      </w:pPr>
      <w:r>
        <w:rPr>
          <w:spacing w:val="-9"/>
        </w:rPr>
        <w:t>在人才评价方面，我校采取形成性评价和总结性评价相结合、定性评价和定量评价</w:t>
      </w:r>
      <w:r>
        <w:rPr>
          <w:spacing w:val="-10"/>
        </w:rPr>
        <w:t>相结合、院内评价与企业评价相结合，做到评价过程与教学过程的同步，定量评价与定</w:t>
      </w:r>
      <w:r>
        <w:rPr/>
        <w:t>性评价的并举，教师评价、学生自我评价、社会评价(麦可斯评价)三者的兼顾。</w:t>
      </w:r>
    </w:p>
    <w:p>
      <w:pPr>
        <w:pStyle w:val="Heading2"/>
        <w:numPr>
          <w:ilvl w:val="2"/>
          <w:numId w:val="3"/>
        </w:numPr>
        <w:tabs>
          <w:tab w:pos="2743" w:val="left" w:leader="none"/>
          <w:tab w:pos="2744" w:val="left" w:leader="none"/>
        </w:tabs>
        <w:spacing w:line="240" w:lineRule="auto" w:before="2" w:after="0"/>
        <w:ind w:left="2743" w:right="0" w:hanging="846"/>
        <w:jc w:val="left"/>
      </w:pPr>
      <w:bookmarkStart w:name="3.5.3  教学管理" w:id="156"/>
      <w:bookmarkEnd w:id="156"/>
      <w:r>
        <w:rPr>
          <w:b w:val="0"/>
        </w:rPr>
      </w:r>
      <w:bookmarkStart w:name="_bookmark57" w:id="157"/>
      <w:bookmarkEnd w:id="157"/>
      <w:r>
        <w:rPr>
          <w:b w:val="0"/>
        </w:rPr>
      </w:r>
      <w:bookmarkStart w:name="_bookmark57" w:id="158"/>
      <w:bookmarkEnd w:id="158"/>
      <w:r>
        <w:rPr/>
        <w:t>教学管理</w:t>
      </w:r>
    </w:p>
    <w:p>
      <w:pPr>
        <w:pStyle w:val="BodyText"/>
        <w:spacing w:before="6"/>
        <w:rPr>
          <w:rFonts w:ascii="黑体"/>
          <w:b/>
        </w:rPr>
      </w:pPr>
    </w:p>
    <w:p>
      <w:pPr>
        <w:pStyle w:val="BodyText"/>
        <w:spacing w:line="364" w:lineRule="auto" w:before="1"/>
        <w:ind w:left="1418" w:right="1453" w:firstLine="480"/>
        <w:jc w:val="both"/>
      </w:pPr>
      <w:r>
        <w:rPr>
          <w:spacing w:val="-7"/>
        </w:rPr>
        <w:t>为加强学校的教学管理工作，规范教学行为，提高人才培养质量，学校建立了一套</w:t>
      </w:r>
      <w:r>
        <w:rPr>
          <w:spacing w:val="-10"/>
        </w:rPr>
        <w:t>完整的教学管理体系，汇编成《教学</w:t>
      </w:r>
      <w:r>
        <w:rPr>
          <w:spacing w:val="-51"/>
        </w:rPr>
        <w:t>·</w:t>
      </w:r>
      <w:r>
        <w:rPr>
          <w:spacing w:val="-17"/>
        </w:rPr>
        <w:t>科研规章制度》，包括教学管理规章制度 </w:t>
      </w:r>
      <w:r>
        <w:rPr/>
        <w:t>41</w:t>
      </w:r>
      <w:r>
        <w:rPr>
          <w:spacing w:val="-20"/>
        </w:rPr>
        <w:t> 条(含</w:t>
      </w:r>
    </w:p>
    <w:p>
      <w:pPr>
        <w:pStyle w:val="BodyText"/>
        <w:spacing w:line="364" w:lineRule="auto" w:before="1"/>
        <w:ind w:left="1418" w:right="1454"/>
        <w:jc w:val="both"/>
      </w:pPr>
      <w:r>
        <w:rPr>
          <w:spacing w:val="-6"/>
        </w:rPr>
        <w:t>课堂教学管理与实践教学管理)，实践教学场所管理制度 </w:t>
      </w:r>
      <w:r>
        <w:rPr/>
        <w:t>13</w:t>
      </w:r>
      <w:r>
        <w:rPr>
          <w:spacing w:val="-14"/>
        </w:rPr>
        <w:t> 条。教学管理机构齐全，教</w:t>
      </w:r>
      <w:r>
        <w:rPr>
          <w:spacing w:val="-12"/>
        </w:rPr>
        <w:t>务、督导、二级学院、教研室多重督促与管理，保证了课堂教学质量。基于培养模式的</w:t>
      </w:r>
      <w:r>
        <w:rPr/>
        <w:t>构架要求，我校实施了基于行动导向的教学原则和“教、学、做”合一的教学方法。</w:t>
      </w:r>
    </w:p>
    <w:p>
      <w:pPr>
        <w:pStyle w:val="BodyText"/>
        <w:spacing w:line="364" w:lineRule="auto" w:before="2"/>
        <w:ind w:left="1418" w:right="1334" w:firstLine="480"/>
      </w:pPr>
      <w:r>
        <w:rPr>
          <w:spacing w:val="-9"/>
        </w:rPr>
        <w:t>建立了完善的实践教学管理制度。制订了《实验实训、实习管理规定》</w:t>
      </w:r>
      <w:r>
        <w:rPr>
          <w:spacing w:val="-25"/>
        </w:rPr>
        <w:t>、《实验室管</w:t>
      </w:r>
      <w:r>
        <w:rPr>
          <w:spacing w:val="-24"/>
        </w:rPr>
        <w:t>理规定》、《实习基地管理办法》及实训各岗位人员相关职责等实践教学管理文件 </w:t>
      </w:r>
      <w:r>
        <w:rPr/>
        <w:t>45</w:t>
      </w:r>
      <w:r>
        <w:rPr>
          <w:spacing w:val="-26"/>
        </w:rPr>
        <w:t> 个， </w:t>
      </w:r>
      <w:r>
        <w:rPr>
          <w:spacing w:val="-5"/>
        </w:rPr>
        <w:t>全面覆盖了学院各类实训教学的管理过程。制订了科学合理的实践教学评价标准。实践教学质量评价标准,有利于对实践教学状况进行有效评价，通过信息反馈的获得优化实践场地的安排使用、实践教师配备、理论教学与实践教学衔接,促进实践教学质量水平</w:t>
      </w:r>
      <w:r>
        <w:rPr>
          <w:spacing w:val="-9"/>
        </w:rPr>
        <w:t>的提高。评价标准对各项指标赋予分值, 引导教师注重过程考核和职业素养考核，在实</w:t>
      </w:r>
      <w:r>
        <w:rPr>
          <w:spacing w:val="-13"/>
        </w:rPr>
        <w:t>践教学过程中，按照考核项目和指标对学生进行动态评价。构建了实践教学质量监控体系。构建了网络化、全覆盖、具有较强预警功能和激励作用的实践教学质量监控体系， 监控由校级督导、职能部门教务处和各二级学院教务办三级部门同时展开，通过建立信</w:t>
      </w:r>
      <w:r>
        <w:rPr>
          <w:spacing w:val="-14"/>
        </w:rPr>
        <w:t>息群和日常巡视，实现线上线下全方位、即时性的监控。教学督导随时对全院实践性教</w:t>
      </w:r>
      <w:r>
        <w:rPr>
          <w:spacing w:val="-13"/>
        </w:rPr>
        <w:t>学进行检查，教务处和二级学院教务办每学期均从学生评教、同行评教、院(部)督导评</w:t>
      </w:r>
      <w:r>
        <w:rPr>
          <w:spacing w:val="-20"/>
        </w:rPr>
        <w:t>教等对实训环节进行考核。搭建流程再造式信息化管理平台，强化实习实训的过程控制。</w:t>
      </w:r>
      <w:r>
        <w:rPr>
          <w:spacing w:val="-7"/>
        </w:rPr>
        <w:t>构建了一个上下贯通、纵横联系的专项实习教学的管理网络，根据空间具有实时记录的</w:t>
      </w:r>
      <w:r>
        <w:rPr>
          <w:spacing w:val="-10"/>
        </w:rPr>
        <w:t>特点，在管理机制及过程管理(质量监控)、绩效督评体系进行了改革。主要针对两个专</w:t>
      </w:r>
      <w:r>
        <w:rPr>
          <w:spacing w:val="-13"/>
        </w:rPr>
        <w:t>项工作——毕业设计和顶岗实习环节管理工作中重难点问题，设立专项栏目，实现了流程再造和数据收集、分析管理的监控考核模式。</w:t>
      </w:r>
    </w:p>
    <w:p>
      <w:pPr>
        <w:pStyle w:val="Heading2"/>
        <w:numPr>
          <w:ilvl w:val="2"/>
          <w:numId w:val="3"/>
        </w:numPr>
        <w:tabs>
          <w:tab w:pos="2743" w:val="left" w:leader="none"/>
          <w:tab w:pos="2744" w:val="left" w:leader="none"/>
        </w:tabs>
        <w:spacing w:line="240" w:lineRule="auto" w:before="9" w:after="0"/>
        <w:ind w:left="2743" w:right="0" w:hanging="846"/>
        <w:jc w:val="left"/>
      </w:pPr>
      <w:bookmarkStart w:name="3.5.4  课程改革" w:id="159"/>
      <w:bookmarkEnd w:id="159"/>
      <w:r>
        <w:rPr>
          <w:b w:val="0"/>
        </w:rPr>
      </w:r>
      <w:bookmarkStart w:name="_bookmark58" w:id="160"/>
      <w:bookmarkEnd w:id="160"/>
      <w:r>
        <w:rPr>
          <w:b w:val="0"/>
        </w:rPr>
      </w:r>
      <w:bookmarkStart w:name="_bookmark58" w:id="161"/>
      <w:bookmarkEnd w:id="161"/>
      <w:r>
        <w:rPr>
          <w:w w:val="95"/>
        </w:rPr>
        <w:t>课程改革</w:t>
      </w:r>
    </w:p>
    <w:p>
      <w:pPr>
        <w:pStyle w:val="BodyText"/>
        <w:spacing w:before="7"/>
        <w:rPr>
          <w:rFonts w:ascii="黑体"/>
          <w:b/>
          <w:sz w:val="18"/>
        </w:rPr>
      </w:pPr>
    </w:p>
    <w:p>
      <w:pPr>
        <w:pStyle w:val="BodyText"/>
        <w:spacing w:line="400" w:lineRule="auto"/>
        <w:ind w:left="1418" w:right="1334" w:firstLine="480"/>
      </w:pPr>
      <w:r>
        <w:rPr/>
        <w:t>依据省级卓越校建设要求和《湖南化工职业技术学院特色专业体系建设三年规划(2017—2019</w:t>
      </w:r>
      <w:r>
        <w:rPr>
          <w:spacing w:val="-38"/>
        </w:rPr>
        <w:t> 年)》，</w:t>
      </w:r>
      <w:r>
        <w:rPr>
          <w:spacing w:val="-9"/>
        </w:rPr>
        <w:t>2017</w:t>
      </w:r>
      <w:r>
        <w:rPr>
          <w:spacing w:val="-17"/>
        </w:rPr>
        <w:t> 年，学院每个专业群重按照“底层共享、中层分立、拓展互选”</w:t>
      </w:r>
    </w:p>
    <w:p>
      <w:pPr>
        <w:pStyle w:val="BodyText"/>
        <w:ind w:left="1418"/>
        <w:jc w:val="both"/>
      </w:pPr>
      <w:r>
        <w:rPr>
          <w:spacing w:val="-8"/>
        </w:rPr>
        <w:t>的建设理念构专业群课程体系，共整合、改造课程 </w:t>
      </w:r>
      <w:r>
        <w:rPr/>
        <w:t>143</w:t>
      </w:r>
      <w:r>
        <w:rPr>
          <w:spacing w:val="-10"/>
        </w:rPr>
        <w:t> 门，专业群内三类课程建设取得</w:t>
      </w:r>
    </w:p>
    <w:p>
      <w:pPr>
        <w:spacing w:after="0"/>
        <w:jc w:val="both"/>
        <w:sectPr>
          <w:pgSz w:w="11910" w:h="16840"/>
          <w:pgMar w:header="780" w:footer="1241" w:top="1260" w:bottom="1440" w:left="0" w:right="0"/>
        </w:sectPr>
      </w:pPr>
    </w:p>
    <w:p>
      <w:pPr>
        <w:pStyle w:val="BodyText"/>
        <w:spacing w:line="400" w:lineRule="auto" w:before="141"/>
        <w:ind w:left="1418" w:right="1333"/>
      </w:pPr>
      <w:r>
        <w:rPr>
          <w:spacing w:val="-8"/>
        </w:rPr>
        <w:t>明显进展(见表 </w:t>
      </w:r>
      <w:r>
        <w:rPr>
          <w:spacing w:val="-3"/>
        </w:rPr>
        <w:t>3-3)</w:t>
      </w:r>
      <w:r>
        <w:rPr>
          <w:spacing w:val="-4"/>
        </w:rPr>
        <w:t>，初步形成了集基础能力、专项能力与拓展能力培养于一体的专业</w:t>
      </w:r>
      <w:r>
        <w:rPr>
          <w:spacing w:val="-17"/>
        </w:rPr>
        <w:t>群课程体系。同时，通过以专业群为单位对课程实施整合、改造，经过两年的持续调整、</w:t>
      </w:r>
      <w:r>
        <w:rPr>
          <w:spacing w:val="-11"/>
        </w:rPr>
        <w:t>优化，学院计开设课程总数由 </w:t>
      </w:r>
      <w:r>
        <w:rPr/>
        <w:t>2016</w:t>
      </w:r>
      <w:r>
        <w:rPr>
          <w:spacing w:val="-30"/>
        </w:rPr>
        <w:t> 年的 </w:t>
      </w:r>
      <w:r>
        <w:rPr/>
        <w:t>847</w:t>
      </w:r>
      <w:r>
        <w:rPr>
          <w:spacing w:val="-20"/>
        </w:rPr>
        <w:t> 门整合为 </w:t>
      </w:r>
      <w:r>
        <w:rPr/>
        <w:t>2018</w:t>
      </w:r>
      <w:r>
        <w:rPr>
          <w:spacing w:val="-30"/>
        </w:rPr>
        <w:t> 年的 </w:t>
      </w:r>
      <w:r>
        <w:rPr/>
        <w:t>743</w:t>
      </w:r>
      <w:r>
        <w:rPr>
          <w:spacing w:val="-14"/>
        </w:rPr>
        <w:t> 门，进一步提升了课程建设的有效性。</w:t>
      </w:r>
    </w:p>
    <w:p>
      <w:pPr>
        <w:tabs>
          <w:tab w:pos="4965" w:val="left" w:leader="none"/>
        </w:tabs>
        <w:spacing w:before="97"/>
        <w:ind w:left="4173" w:right="0" w:firstLine="0"/>
        <w:jc w:val="left"/>
        <w:rPr>
          <w:b/>
          <w:sz w:val="21"/>
        </w:rPr>
      </w:pPr>
      <w:r>
        <w:rPr>
          <w:b/>
          <w:sz w:val="21"/>
        </w:rPr>
        <w:t>表</w:t>
      </w:r>
      <w:r>
        <w:rPr>
          <w:b/>
          <w:spacing w:val="-53"/>
          <w:sz w:val="21"/>
        </w:rPr>
        <w:t> </w:t>
      </w:r>
      <w:r>
        <w:rPr>
          <w:b/>
          <w:sz w:val="21"/>
        </w:rPr>
        <w:t>3-3</w:t>
        <w:tab/>
        <w:t>学院专业群课程体系建设情况</w:t>
      </w:r>
    </w:p>
    <w:p>
      <w:pPr>
        <w:pStyle w:val="BodyText"/>
        <w:spacing w:before="10"/>
        <w:rPr>
          <w:b/>
          <w:sz w:val="7"/>
        </w:rPr>
      </w:pPr>
    </w:p>
    <w:tbl>
      <w:tblPr>
        <w:tblW w:w="0" w:type="auto"/>
        <w:jc w:val="left"/>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0"/>
        <w:gridCol w:w="1716"/>
        <w:gridCol w:w="1788"/>
        <w:gridCol w:w="1733"/>
      </w:tblGrid>
      <w:tr>
        <w:trPr>
          <w:trHeight w:val="432" w:hRule="atLeast"/>
        </w:trPr>
        <w:tc>
          <w:tcPr>
            <w:tcW w:w="3300" w:type="dxa"/>
            <w:shd w:val="clear" w:color="auto" w:fill="FF6600"/>
          </w:tcPr>
          <w:p>
            <w:pPr>
              <w:pStyle w:val="TableParagraph"/>
              <w:spacing w:before="82"/>
              <w:ind w:left="159" w:right="148"/>
              <w:jc w:val="center"/>
              <w:rPr>
                <w:b/>
                <w:sz w:val="21"/>
              </w:rPr>
            </w:pPr>
            <w:r>
              <w:rPr>
                <w:b/>
                <w:sz w:val="21"/>
              </w:rPr>
              <w:t>课程类别</w:t>
            </w:r>
          </w:p>
        </w:tc>
        <w:tc>
          <w:tcPr>
            <w:tcW w:w="1716" w:type="dxa"/>
            <w:shd w:val="clear" w:color="auto" w:fill="FF6600"/>
          </w:tcPr>
          <w:p>
            <w:pPr>
              <w:pStyle w:val="TableParagraph"/>
              <w:spacing w:before="82"/>
              <w:ind w:left="207" w:right="194"/>
              <w:jc w:val="center"/>
              <w:rPr>
                <w:b/>
                <w:sz w:val="21"/>
              </w:rPr>
            </w:pPr>
            <w:r>
              <w:rPr>
                <w:b/>
                <w:sz w:val="21"/>
              </w:rPr>
              <w:t>共享专业课程</w:t>
            </w:r>
          </w:p>
        </w:tc>
        <w:tc>
          <w:tcPr>
            <w:tcW w:w="1788" w:type="dxa"/>
            <w:shd w:val="clear" w:color="auto" w:fill="FF6600"/>
          </w:tcPr>
          <w:p>
            <w:pPr>
              <w:pStyle w:val="TableParagraph"/>
              <w:spacing w:before="82"/>
              <w:ind w:left="243" w:right="230"/>
              <w:jc w:val="center"/>
              <w:rPr>
                <w:b/>
                <w:sz w:val="21"/>
              </w:rPr>
            </w:pPr>
            <w:r>
              <w:rPr>
                <w:b/>
                <w:sz w:val="21"/>
              </w:rPr>
              <w:t>专业方向课程</w:t>
            </w:r>
          </w:p>
        </w:tc>
        <w:tc>
          <w:tcPr>
            <w:tcW w:w="1733" w:type="dxa"/>
            <w:shd w:val="clear" w:color="auto" w:fill="FF6600"/>
          </w:tcPr>
          <w:p>
            <w:pPr>
              <w:pStyle w:val="TableParagraph"/>
              <w:spacing w:before="82"/>
              <w:ind w:left="423" w:right="415"/>
              <w:jc w:val="center"/>
              <w:rPr>
                <w:b/>
                <w:sz w:val="21"/>
              </w:rPr>
            </w:pPr>
            <w:r>
              <w:rPr>
                <w:b/>
                <w:sz w:val="21"/>
              </w:rPr>
              <w:t>拓展课程</w:t>
            </w:r>
          </w:p>
        </w:tc>
      </w:tr>
      <w:tr>
        <w:trPr>
          <w:trHeight w:val="432" w:hRule="atLeast"/>
        </w:trPr>
        <w:tc>
          <w:tcPr>
            <w:tcW w:w="3300" w:type="dxa"/>
            <w:shd w:val="clear" w:color="auto" w:fill="CCFFFF"/>
          </w:tcPr>
          <w:p>
            <w:pPr>
              <w:pStyle w:val="TableParagraph"/>
              <w:spacing w:before="80"/>
              <w:ind w:left="157" w:right="151"/>
              <w:jc w:val="center"/>
              <w:rPr>
                <w:sz w:val="21"/>
              </w:rPr>
            </w:pPr>
            <w:r>
              <w:rPr>
                <w:sz w:val="21"/>
              </w:rPr>
              <w:t>化工生产技术专业群</w:t>
            </w:r>
          </w:p>
        </w:tc>
        <w:tc>
          <w:tcPr>
            <w:tcW w:w="1716" w:type="dxa"/>
            <w:shd w:val="clear" w:color="auto" w:fill="CCFFFF"/>
          </w:tcPr>
          <w:p>
            <w:pPr>
              <w:pStyle w:val="TableParagraph"/>
              <w:spacing w:before="80"/>
              <w:ind w:left="7"/>
              <w:jc w:val="center"/>
              <w:rPr>
                <w:sz w:val="21"/>
              </w:rPr>
            </w:pPr>
            <w:r>
              <w:rPr>
                <w:w w:val="99"/>
                <w:sz w:val="21"/>
              </w:rPr>
              <w:t>8</w:t>
            </w:r>
          </w:p>
        </w:tc>
        <w:tc>
          <w:tcPr>
            <w:tcW w:w="1788" w:type="dxa"/>
            <w:shd w:val="clear" w:color="auto" w:fill="CCFFFF"/>
          </w:tcPr>
          <w:p>
            <w:pPr>
              <w:pStyle w:val="TableParagraph"/>
              <w:spacing w:before="80"/>
              <w:ind w:left="237" w:right="230"/>
              <w:jc w:val="center"/>
              <w:rPr>
                <w:sz w:val="21"/>
              </w:rPr>
            </w:pPr>
            <w:r>
              <w:rPr>
                <w:sz w:val="21"/>
              </w:rPr>
              <w:t>18</w:t>
            </w:r>
          </w:p>
        </w:tc>
        <w:tc>
          <w:tcPr>
            <w:tcW w:w="1733" w:type="dxa"/>
            <w:shd w:val="clear" w:color="auto" w:fill="CCFFFF"/>
          </w:tcPr>
          <w:p>
            <w:pPr>
              <w:pStyle w:val="TableParagraph"/>
              <w:spacing w:before="80"/>
              <w:ind w:left="423" w:right="414"/>
              <w:jc w:val="center"/>
              <w:rPr>
                <w:sz w:val="21"/>
              </w:rPr>
            </w:pPr>
            <w:r>
              <w:rPr>
                <w:sz w:val="21"/>
              </w:rPr>
              <w:t>16</w:t>
            </w:r>
          </w:p>
        </w:tc>
      </w:tr>
      <w:tr>
        <w:trPr>
          <w:trHeight w:val="432" w:hRule="atLeast"/>
        </w:trPr>
        <w:tc>
          <w:tcPr>
            <w:tcW w:w="3300" w:type="dxa"/>
            <w:shd w:val="clear" w:color="auto" w:fill="CCFFFF"/>
          </w:tcPr>
          <w:p>
            <w:pPr>
              <w:pStyle w:val="TableParagraph"/>
              <w:spacing w:before="81"/>
              <w:ind w:left="157" w:right="151"/>
              <w:jc w:val="center"/>
              <w:rPr>
                <w:sz w:val="21"/>
              </w:rPr>
            </w:pPr>
            <w:r>
              <w:rPr>
                <w:sz w:val="21"/>
              </w:rPr>
              <w:t>化学与生物制药技术专业群</w:t>
            </w:r>
          </w:p>
        </w:tc>
        <w:tc>
          <w:tcPr>
            <w:tcW w:w="1716" w:type="dxa"/>
            <w:shd w:val="clear" w:color="auto" w:fill="CCFFFF"/>
          </w:tcPr>
          <w:p>
            <w:pPr>
              <w:pStyle w:val="TableParagraph"/>
              <w:spacing w:before="81"/>
              <w:ind w:left="7"/>
              <w:jc w:val="center"/>
              <w:rPr>
                <w:sz w:val="21"/>
              </w:rPr>
            </w:pPr>
            <w:r>
              <w:rPr>
                <w:w w:val="99"/>
                <w:sz w:val="21"/>
              </w:rPr>
              <w:t>8</w:t>
            </w:r>
          </w:p>
        </w:tc>
        <w:tc>
          <w:tcPr>
            <w:tcW w:w="1788" w:type="dxa"/>
            <w:shd w:val="clear" w:color="auto" w:fill="CCFFFF"/>
          </w:tcPr>
          <w:p>
            <w:pPr>
              <w:pStyle w:val="TableParagraph"/>
              <w:spacing w:before="81"/>
              <w:ind w:left="237" w:right="230"/>
              <w:jc w:val="center"/>
              <w:rPr>
                <w:sz w:val="21"/>
              </w:rPr>
            </w:pPr>
            <w:r>
              <w:rPr>
                <w:sz w:val="21"/>
              </w:rPr>
              <w:t>15</w:t>
            </w:r>
          </w:p>
        </w:tc>
        <w:tc>
          <w:tcPr>
            <w:tcW w:w="1733" w:type="dxa"/>
            <w:shd w:val="clear" w:color="auto" w:fill="CCFFFF"/>
          </w:tcPr>
          <w:p>
            <w:pPr>
              <w:pStyle w:val="TableParagraph"/>
              <w:spacing w:before="81"/>
              <w:ind w:left="423" w:right="414"/>
              <w:jc w:val="center"/>
              <w:rPr>
                <w:sz w:val="21"/>
              </w:rPr>
            </w:pPr>
            <w:r>
              <w:rPr>
                <w:sz w:val="21"/>
              </w:rPr>
              <w:t>14</w:t>
            </w:r>
          </w:p>
        </w:tc>
      </w:tr>
      <w:tr>
        <w:trPr>
          <w:trHeight w:val="433" w:hRule="atLeast"/>
        </w:trPr>
        <w:tc>
          <w:tcPr>
            <w:tcW w:w="3300" w:type="dxa"/>
            <w:shd w:val="clear" w:color="auto" w:fill="CCFFFF"/>
          </w:tcPr>
          <w:p>
            <w:pPr>
              <w:pStyle w:val="TableParagraph"/>
              <w:spacing w:before="80"/>
              <w:ind w:left="159" w:right="151"/>
              <w:jc w:val="center"/>
              <w:rPr>
                <w:sz w:val="21"/>
              </w:rPr>
            </w:pPr>
            <w:r>
              <w:rPr>
                <w:sz w:val="21"/>
              </w:rPr>
              <w:t>化工智能制造与控制技术专业群</w:t>
            </w:r>
          </w:p>
        </w:tc>
        <w:tc>
          <w:tcPr>
            <w:tcW w:w="1716" w:type="dxa"/>
            <w:shd w:val="clear" w:color="auto" w:fill="CCFFFF"/>
          </w:tcPr>
          <w:p>
            <w:pPr>
              <w:pStyle w:val="TableParagraph"/>
              <w:spacing w:before="80"/>
              <w:ind w:left="7"/>
              <w:jc w:val="center"/>
              <w:rPr>
                <w:sz w:val="21"/>
              </w:rPr>
            </w:pPr>
            <w:r>
              <w:rPr>
                <w:w w:val="99"/>
                <w:sz w:val="21"/>
              </w:rPr>
              <w:t>6</w:t>
            </w:r>
          </w:p>
        </w:tc>
        <w:tc>
          <w:tcPr>
            <w:tcW w:w="1788" w:type="dxa"/>
            <w:shd w:val="clear" w:color="auto" w:fill="CCFFFF"/>
          </w:tcPr>
          <w:p>
            <w:pPr>
              <w:pStyle w:val="TableParagraph"/>
              <w:spacing w:before="80"/>
              <w:ind w:left="237" w:right="230"/>
              <w:jc w:val="center"/>
              <w:rPr>
                <w:sz w:val="21"/>
              </w:rPr>
            </w:pPr>
            <w:r>
              <w:rPr>
                <w:sz w:val="21"/>
              </w:rPr>
              <w:t>18</w:t>
            </w:r>
          </w:p>
        </w:tc>
        <w:tc>
          <w:tcPr>
            <w:tcW w:w="1733" w:type="dxa"/>
            <w:shd w:val="clear" w:color="auto" w:fill="CCFFFF"/>
          </w:tcPr>
          <w:p>
            <w:pPr>
              <w:pStyle w:val="TableParagraph"/>
              <w:spacing w:before="80"/>
              <w:ind w:left="423" w:right="414"/>
              <w:jc w:val="center"/>
              <w:rPr>
                <w:sz w:val="21"/>
              </w:rPr>
            </w:pPr>
            <w:r>
              <w:rPr>
                <w:sz w:val="21"/>
              </w:rPr>
              <w:t>13</w:t>
            </w:r>
          </w:p>
        </w:tc>
      </w:tr>
      <w:tr>
        <w:trPr>
          <w:trHeight w:val="432" w:hRule="atLeast"/>
        </w:trPr>
        <w:tc>
          <w:tcPr>
            <w:tcW w:w="3300" w:type="dxa"/>
            <w:shd w:val="clear" w:color="auto" w:fill="CCFFFF"/>
          </w:tcPr>
          <w:p>
            <w:pPr>
              <w:pStyle w:val="TableParagraph"/>
              <w:spacing w:before="81"/>
              <w:ind w:left="159" w:right="151"/>
              <w:jc w:val="center"/>
              <w:rPr>
                <w:sz w:val="21"/>
              </w:rPr>
            </w:pPr>
            <w:r>
              <w:rPr>
                <w:sz w:val="21"/>
              </w:rPr>
              <w:t>人工智能技术</w:t>
            </w:r>
          </w:p>
        </w:tc>
        <w:tc>
          <w:tcPr>
            <w:tcW w:w="1716" w:type="dxa"/>
            <w:shd w:val="clear" w:color="auto" w:fill="CCFFFF"/>
          </w:tcPr>
          <w:p>
            <w:pPr>
              <w:pStyle w:val="TableParagraph"/>
              <w:spacing w:before="81"/>
              <w:ind w:left="7"/>
              <w:jc w:val="center"/>
              <w:rPr>
                <w:sz w:val="21"/>
              </w:rPr>
            </w:pPr>
            <w:r>
              <w:rPr>
                <w:w w:val="99"/>
                <w:sz w:val="21"/>
              </w:rPr>
              <w:t>6</w:t>
            </w:r>
          </w:p>
        </w:tc>
        <w:tc>
          <w:tcPr>
            <w:tcW w:w="1788" w:type="dxa"/>
            <w:shd w:val="clear" w:color="auto" w:fill="CCFFFF"/>
          </w:tcPr>
          <w:p>
            <w:pPr>
              <w:pStyle w:val="TableParagraph"/>
              <w:spacing w:before="81"/>
              <w:ind w:left="237" w:right="230"/>
              <w:jc w:val="center"/>
              <w:rPr>
                <w:sz w:val="21"/>
              </w:rPr>
            </w:pPr>
            <w:r>
              <w:rPr>
                <w:sz w:val="21"/>
              </w:rPr>
              <w:t>15</w:t>
            </w:r>
          </w:p>
        </w:tc>
        <w:tc>
          <w:tcPr>
            <w:tcW w:w="1733" w:type="dxa"/>
            <w:shd w:val="clear" w:color="auto" w:fill="CCFFFF"/>
          </w:tcPr>
          <w:p>
            <w:pPr>
              <w:pStyle w:val="TableParagraph"/>
              <w:spacing w:before="81"/>
              <w:ind w:left="423" w:right="414"/>
              <w:jc w:val="center"/>
              <w:rPr>
                <w:sz w:val="21"/>
              </w:rPr>
            </w:pPr>
            <w:r>
              <w:rPr>
                <w:sz w:val="21"/>
              </w:rPr>
              <w:t>13</w:t>
            </w:r>
          </w:p>
        </w:tc>
      </w:tr>
      <w:tr>
        <w:trPr>
          <w:trHeight w:val="432" w:hRule="atLeast"/>
        </w:trPr>
        <w:tc>
          <w:tcPr>
            <w:tcW w:w="3300" w:type="dxa"/>
            <w:shd w:val="clear" w:color="auto" w:fill="CCFFFF"/>
          </w:tcPr>
          <w:p>
            <w:pPr>
              <w:pStyle w:val="TableParagraph"/>
              <w:spacing w:before="82"/>
              <w:ind w:left="157" w:right="151"/>
              <w:jc w:val="center"/>
              <w:rPr>
                <w:sz w:val="21"/>
              </w:rPr>
            </w:pPr>
            <w:r>
              <w:rPr>
                <w:sz w:val="21"/>
              </w:rPr>
              <w:t>化工生产运营与管理专业群</w:t>
            </w:r>
          </w:p>
        </w:tc>
        <w:tc>
          <w:tcPr>
            <w:tcW w:w="1716" w:type="dxa"/>
            <w:shd w:val="clear" w:color="auto" w:fill="CCFFFF"/>
          </w:tcPr>
          <w:p>
            <w:pPr>
              <w:pStyle w:val="TableParagraph"/>
              <w:spacing w:before="82"/>
              <w:ind w:left="7"/>
              <w:jc w:val="center"/>
              <w:rPr>
                <w:sz w:val="21"/>
              </w:rPr>
            </w:pPr>
            <w:r>
              <w:rPr>
                <w:w w:val="99"/>
                <w:sz w:val="21"/>
              </w:rPr>
              <w:t>6</w:t>
            </w:r>
          </w:p>
        </w:tc>
        <w:tc>
          <w:tcPr>
            <w:tcW w:w="1788" w:type="dxa"/>
            <w:shd w:val="clear" w:color="auto" w:fill="CCFFFF"/>
          </w:tcPr>
          <w:p>
            <w:pPr>
              <w:pStyle w:val="TableParagraph"/>
              <w:spacing w:before="82"/>
              <w:ind w:left="237" w:right="230"/>
              <w:jc w:val="center"/>
              <w:rPr>
                <w:sz w:val="21"/>
              </w:rPr>
            </w:pPr>
            <w:r>
              <w:rPr>
                <w:sz w:val="21"/>
              </w:rPr>
              <w:t>18</w:t>
            </w:r>
          </w:p>
        </w:tc>
        <w:tc>
          <w:tcPr>
            <w:tcW w:w="1733" w:type="dxa"/>
            <w:shd w:val="clear" w:color="auto" w:fill="CCFFFF"/>
          </w:tcPr>
          <w:p>
            <w:pPr>
              <w:pStyle w:val="TableParagraph"/>
              <w:spacing w:before="82"/>
              <w:ind w:left="423" w:right="414"/>
              <w:jc w:val="center"/>
              <w:rPr>
                <w:sz w:val="21"/>
              </w:rPr>
            </w:pPr>
            <w:r>
              <w:rPr>
                <w:sz w:val="21"/>
              </w:rPr>
              <w:t>19</w:t>
            </w:r>
          </w:p>
        </w:tc>
      </w:tr>
      <w:tr>
        <w:trPr>
          <w:trHeight w:val="448" w:hRule="atLeast"/>
        </w:trPr>
        <w:tc>
          <w:tcPr>
            <w:tcW w:w="3300" w:type="dxa"/>
            <w:shd w:val="clear" w:color="auto" w:fill="CCFFFF"/>
          </w:tcPr>
          <w:p>
            <w:pPr>
              <w:pStyle w:val="TableParagraph"/>
              <w:spacing w:before="88"/>
              <w:ind w:left="159" w:right="148"/>
              <w:jc w:val="center"/>
              <w:rPr>
                <w:b/>
                <w:sz w:val="21"/>
              </w:rPr>
            </w:pPr>
            <w:r>
              <w:rPr>
                <w:b/>
                <w:sz w:val="21"/>
              </w:rPr>
              <w:t>合计</w:t>
            </w:r>
          </w:p>
        </w:tc>
        <w:tc>
          <w:tcPr>
            <w:tcW w:w="1716" w:type="dxa"/>
            <w:shd w:val="clear" w:color="auto" w:fill="CCFFFF"/>
          </w:tcPr>
          <w:p>
            <w:pPr>
              <w:pStyle w:val="TableParagraph"/>
              <w:spacing w:before="88"/>
              <w:ind w:left="204" w:right="194"/>
              <w:jc w:val="center"/>
              <w:rPr>
                <w:b/>
                <w:sz w:val="21"/>
              </w:rPr>
            </w:pPr>
            <w:r>
              <w:rPr>
                <w:b/>
                <w:sz w:val="21"/>
              </w:rPr>
              <w:t>36</w:t>
            </w:r>
          </w:p>
        </w:tc>
        <w:tc>
          <w:tcPr>
            <w:tcW w:w="1788" w:type="dxa"/>
            <w:shd w:val="clear" w:color="auto" w:fill="CCFFFF"/>
          </w:tcPr>
          <w:p>
            <w:pPr>
              <w:pStyle w:val="TableParagraph"/>
              <w:spacing w:before="88"/>
              <w:ind w:left="240" w:right="230"/>
              <w:jc w:val="center"/>
              <w:rPr>
                <w:b/>
                <w:sz w:val="21"/>
              </w:rPr>
            </w:pPr>
            <w:r>
              <w:rPr>
                <w:b/>
                <w:sz w:val="21"/>
              </w:rPr>
              <w:t>84</w:t>
            </w:r>
          </w:p>
        </w:tc>
        <w:tc>
          <w:tcPr>
            <w:tcW w:w="1733" w:type="dxa"/>
            <w:shd w:val="clear" w:color="auto" w:fill="CCFFFF"/>
          </w:tcPr>
          <w:p>
            <w:pPr>
              <w:pStyle w:val="TableParagraph"/>
              <w:spacing w:before="88"/>
              <w:ind w:left="423" w:right="414"/>
              <w:jc w:val="center"/>
              <w:rPr>
                <w:b/>
                <w:sz w:val="21"/>
              </w:rPr>
            </w:pPr>
            <w:r>
              <w:rPr>
                <w:b/>
                <w:sz w:val="21"/>
              </w:rPr>
              <w:t>75</w:t>
            </w:r>
          </w:p>
        </w:tc>
      </w:tr>
    </w:tbl>
    <w:p>
      <w:pPr>
        <w:spacing w:before="98"/>
        <w:ind w:left="4778" w:right="0" w:firstLine="0"/>
        <w:jc w:val="left"/>
        <w:rPr>
          <w:b/>
          <w:sz w:val="21"/>
        </w:rPr>
      </w:pPr>
      <w:r>
        <w:rPr>
          <w:b/>
          <w:w w:val="95"/>
          <w:sz w:val="21"/>
        </w:rPr>
        <w:t>数据来源：学院省级卓越高职院校建设项目建设数据(教务处)</w:t>
      </w:r>
    </w:p>
    <w:p>
      <w:pPr>
        <w:pStyle w:val="BodyText"/>
        <w:spacing w:line="364" w:lineRule="auto" w:before="104"/>
        <w:ind w:left="1418" w:right="1365" w:firstLine="480"/>
        <w:jc w:val="both"/>
      </w:pPr>
      <w:r>
        <w:rPr>
          <w:spacing w:val="-1"/>
        </w:rPr>
        <w:t>引入先进技术标准建设优质课程。跟踪行业新工艺、新技术，以工作过程为导向， </w:t>
      </w:r>
      <w:r>
        <w:rPr>
          <w:spacing w:val="-4"/>
        </w:rPr>
        <w:t>以典型产品生产项目为载体，整合理论知识与实践技能，建设理实一体化的优质专业课</w:t>
      </w:r>
      <w:r>
        <w:rPr>
          <w:spacing w:val="4"/>
        </w:rPr>
        <w:t>程，并实现了动态更新教学内容、课程资源。</w:t>
      </w:r>
      <w:r>
        <w:rPr/>
        <w:t>2018</w:t>
      </w:r>
      <w:r>
        <w:rPr>
          <w:spacing w:val="-7"/>
        </w:rPr>
        <w:t> 年，学院引入国际先进职业标准 </w:t>
      </w:r>
      <w:r>
        <w:rPr/>
        <w:t>3</w:t>
      </w:r>
    </w:p>
    <w:p>
      <w:pPr>
        <w:pStyle w:val="BodyText"/>
        <w:spacing w:line="304" w:lineRule="exact"/>
        <w:ind w:left="1418"/>
        <w:jc w:val="both"/>
      </w:pPr>
      <w:r>
        <w:rPr>
          <w:spacing w:val="-9"/>
        </w:rPr>
        <w:t>项、行业新工艺、新技术 </w:t>
      </w:r>
      <w:r>
        <w:rPr/>
        <w:t>29</w:t>
      </w:r>
      <w:r>
        <w:rPr>
          <w:spacing w:val="-14"/>
        </w:rPr>
        <w:t> 项，建设了《甲醇合成技术》等 </w:t>
      </w:r>
      <w:r>
        <w:rPr/>
        <w:t>17</w:t>
      </w:r>
      <w:r>
        <w:rPr>
          <w:spacing w:val="-9"/>
        </w:rPr>
        <w:t> 门专业核心课程，建成</w:t>
      </w:r>
    </w:p>
    <w:p>
      <w:pPr>
        <w:pStyle w:val="BodyText"/>
        <w:spacing w:before="158"/>
        <w:ind w:left="1418"/>
        <w:jc w:val="both"/>
      </w:pPr>
      <w:r>
        <w:rPr/>
        <w:t>了省级精品在线开放课程项目等省级以上优质课程 44 门。</w:t>
      </w:r>
    </w:p>
    <w:p>
      <w:pPr>
        <w:pStyle w:val="BodyText"/>
        <w:spacing w:before="9"/>
        <w:rPr>
          <w:sz w:val="18"/>
        </w:rPr>
      </w:pPr>
    </w:p>
    <w:p>
      <w:pPr>
        <w:pStyle w:val="Heading2"/>
        <w:numPr>
          <w:ilvl w:val="2"/>
          <w:numId w:val="3"/>
        </w:numPr>
        <w:tabs>
          <w:tab w:pos="2743" w:val="left" w:leader="none"/>
          <w:tab w:pos="2744" w:val="left" w:leader="none"/>
        </w:tabs>
        <w:spacing w:line="240" w:lineRule="auto" w:before="0" w:after="0"/>
        <w:ind w:left="2743" w:right="0" w:hanging="846"/>
        <w:jc w:val="left"/>
      </w:pPr>
      <w:bookmarkStart w:name="3.5.5  信息化教学" w:id="162"/>
      <w:bookmarkEnd w:id="162"/>
      <w:r>
        <w:rPr>
          <w:b w:val="0"/>
        </w:rPr>
      </w:r>
      <w:bookmarkStart w:name="_bookmark59" w:id="163"/>
      <w:bookmarkEnd w:id="163"/>
      <w:r>
        <w:rPr>
          <w:b w:val="0"/>
        </w:rPr>
      </w:r>
      <w:bookmarkStart w:name="_bookmark59" w:id="164"/>
      <w:bookmarkEnd w:id="164"/>
      <w:r>
        <w:rPr/>
        <w:t>信息化教学</w:t>
      </w:r>
    </w:p>
    <w:p>
      <w:pPr>
        <w:pStyle w:val="BodyText"/>
        <w:spacing w:before="9"/>
        <w:rPr>
          <w:rFonts w:ascii="黑体"/>
          <w:b/>
        </w:rPr>
      </w:pPr>
    </w:p>
    <w:p>
      <w:pPr>
        <w:pStyle w:val="BodyText"/>
        <w:spacing w:line="364" w:lineRule="auto"/>
        <w:ind w:left="1418" w:right="1333" w:firstLine="480"/>
      </w:pPr>
      <w:r>
        <w:rPr>
          <w:spacing w:val="-7"/>
        </w:rPr>
        <w:t>学院以推进教学方法、教学过程、教学考核改革为核心，推行教学信息化建设。坚持应用导向，着眼课堂实效提升，以创新教育教学管理思维、手段和服务方式为重心， </w:t>
      </w:r>
      <w:r>
        <w:rPr>
          <w:spacing w:val="-11"/>
        </w:rPr>
        <w:t>积极构建教育教学管理云服务体系，将教育信息化建设与教育教学改革深度融合，实现</w:t>
      </w:r>
      <w:r>
        <w:rPr>
          <w:spacing w:val="-12"/>
        </w:rPr>
        <w:t>“三个转变”，即：在教育教学管理理念上从“管理”向“服务”转变，在信息化教学</w:t>
      </w:r>
      <w:r>
        <w:rPr>
          <w:spacing w:val="-14"/>
        </w:rPr>
        <w:t>应用改革中从“试点”向“常态”转变，在教育信息化建设项目实施过程中从“被动应</w:t>
      </w:r>
      <w:r>
        <w:rPr>
          <w:spacing w:val="-17"/>
        </w:rPr>
        <w:t>用”向“融合创新”转变。自 </w:t>
      </w:r>
      <w:r>
        <w:rPr/>
        <w:t>2011</w:t>
      </w:r>
      <w:r>
        <w:rPr>
          <w:spacing w:val="-8"/>
        </w:rPr>
        <w:t> 年开始，学校以网络空间应用为切入点，推进教育</w:t>
      </w:r>
      <w:r>
        <w:rPr>
          <w:spacing w:val="-12"/>
        </w:rPr>
        <w:t>信息化建设与教育教学改革深度融合，坚持应用导向，着眼实效提升，构建基于云平台</w:t>
      </w:r>
      <w:r>
        <w:rPr>
          <w:spacing w:val="-13"/>
        </w:rPr>
        <w:t>的教育教学云服务体系。按照“一中心、两原则、三策略”(即，围绕“以服务学习者” </w:t>
      </w:r>
      <w:r>
        <w:rPr>
          <w:spacing w:val="-10"/>
        </w:rPr>
        <w:t>为中心，坚持“应用需求导向、自主开发创新”两原则，落实“系统设计与分步推进结合、方案与过程管理落地、应用与创新相促进”三策略)思路，深化了信息化教学方式</w:t>
      </w:r>
    </w:p>
    <w:p>
      <w:pPr>
        <w:spacing w:after="0" w:line="364" w:lineRule="auto"/>
        <w:sectPr>
          <w:footerReference w:type="default" r:id="rId61"/>
          <w:pgSz w:w="11910" w:h="16840"/>
          <w:pgMar w:footer="1241" w:header="780" w:top="1260" w:bottom="1440" w:left="0" w:right="0"/>
          <w:pgNumType w:start="40"/>
        </w:sectPr>
      </w:pPr>
    </w:p>
    <w:p>
      <w:pPr>
        <w:pStyle w:val="BodyText"/>
        <w:rPr>
          <w:sz w:val="12"/>
        </w:rPr>
      </w:pPr>
    </w:p>
    <w:p>
      <w:pPr>
        <w:pStyle w:val="BodyText"/>
        <w:spacing w:before="66"/>
        <w:ind w:left="1418"/>
      </w:pPr>
      <w:r>
        <w:rPr/>
        <w:t>方法应用、教学管理优化、保障机制建设三项工程。</w:t>
      </w:r>
    </w:p>
    <w:p>
      <w:pPr>
        <w:pStyle w:val="BodyText"/>
        <w:spacing w:line="364" w:lineRule="auto" w:before="161"/>
        <w:ind w:left="1418" w:right="1425" w:firstLine="480"/>
        <w:jc w:val="both"/>
      </w:pPr>
      <w:r>
        <w:rPr>
          <w:spacing w:val="-6"/>
        </w:rPr>
        <w:t>多方投入共建数字课程资源。组织一线骨干教师基于云平台在教学过程中，自主开</w:t>
      </w:r>
      <w:r>
        <w:rPr>
          <w:spacing w:val="-10"/>
        </w:rPr>
        <w:t>发与应用精细化、情境化的空间课程和 </w:t>
      </w:r>
      <w:r>
        <w:rPr/>
        <w:t>MOOC/MOOT(</w:t>
      </w:r>
      <w:r>
        <w:rPr>
          <w:spacing w:val="-1"/>
        </w:rPr>
        <w:t>即慕课与立体化教材)与社区课程， </w:t>
      </w:r>
      <w:r>
        <w:rPr>
          <w:spacing w:val="-4"/>
        </w:rPr>
        <w:t>增强课前课后学习指导的针对性和师生交互便捷性，实现线上线下相结合的课堂教学翻</w:t>
      </w:r>
      <w:r>
        <w:rPr>
          <w:spacing w:val="-10"/>
        </w:rPr>
        <w:t>转；针对性开发与应用微课，激活课堂，化解教学难点、增强课堂吸引力并满足学习者</w:t>
      </w:r>
      <w:r>
        <w:rPr>
          <w:spacing w:val="-14"/>
        </w:rPr>
        <w:t>随时随地学习需求；系统开发单元测试题库，促进课程学习中“学、练”结合和随时随</w:t>
      </w:r>
      <w:r>
        <w:rPr>
          <w:spacing w:val="-11"/>
        </w:rPr>
        <w:t>机检测；打造基于云空间的化工仿真教学平台，创建集化工文化、知识推广与专业教学</w:t>
      </w:r>
      <w:r>
        <w:rPr>
          <w:spacing w:val="-15"/>
        </w:rPr>
        <w:t>于一体的化工数字博物馆，解决化工现场实训难问题，实现“人人、处处、时时”开放训练。</w:t>
      </w:r>
    </w:p>
    <w:p>
      <w:pPr>
        <w:pStyle w:val="BodyText"/>
        <w:spacing w:before="4"/>
        <w:ind w:left="1898"/>
        <w:jc w:val="both"/>
      </w:pPr>
      <w:r>
        <w:rPr>
          <w:spacing w:val="-20"/>
        </w:rPr>
        <w:t>截止 </w:t>
      </w:r>
      <w:r>
        <w:rPr/>
        <w:t>2018</w:t>
      </w:r>
      <w:r>
        <w:rPr>
          <w:spacing w:val="-14"/>
        </w:rPr>
        <w:t> 年，学院开发与应用院级空间课程 </w:t>
      </w:r>
      <w:r>
        <w:rPr/>
        <w:t>370</w:t>
      </w:r>
      <w:r>
        <w:rPr>
          <w:spacing w:val="-19"/>
        </w:rPr>
        <w:t> 余门、社区课程 </w:t>
      </w:r>
      <w:r>
        <w:rPr/>
        <w:t>27</w:t>
      </w:r>
      <w:r>
        <w:rPr>
          <w:spacing w:val="-14"/>
        </w:rPr>
        <w:t> 门、单元测试</w:t>
      </w:r>
    </w:p>
    <w:p>
      <w:pPr>
        <w:pStyle w:val="BodyText"/>
        <w:spacing w:before="161"/>
        <w:ind w:left="1418"/>
      </w:pPr>
      <w:r>
        <w:rPr>
          <w:spacing w:val="-20"/>
        </w:rPr>
        <w:t>题库 </w:t>
      </w:r>
      <w:r>
        <w:rPr/>
        <w:t>100</w:t>
      </w:r>
      <w:r>
        <w:rPr>
          <w:spacing w:val="-23"/>
        </w:rPr>
        <w:t> 余门、微课 </w:t>
      </w:r>
      <w:r>
        <w:rPr/>
        <w:t>1500</w:t>
      </w:r>
      <w:r>
        <w:rPr>
          <w:spacing w:val="-13"/>
        </w:rPr>
        <w:t> 余个；建设省级精品在线开放课程 </w:t>
      </w:r>
      <w:r>
        <w:rPr/>
        <w:t>13</w:t>
      </w:r>
      <w:r>
        <w:rPr>
          <w:spacing w:val="-10"/>
        </w:rPr>
        <w:t> 门、省级网络名师课堂</w:t>
      </w:r>
    </w:p>
    <w:p>
      <w:pPr>
        <w:pStyle w:val="ListParagraph"/>
        <w:numPr>
          <w:ilvl w:val="0"/>
          <w:numId w:val="4"/>
        </w:numPr>
        <w:tabs>
          <w:tab w:pos="1721" w:val="left" w:leader="none"/>
        </w:tabs>
        <w:spacing w:line="364" w:lineRule="auto" w:before="160" w:after="0"/>
        <w:ind w:left="1418" w:right="1454" w:firstLine="0"/>
        <w:jc w:val="left"/>
        <w:rPr>
          <w:sz w:val="24"/>
        </w:rPr>
      </w:pPr>
      <w:r>
        <w:rPr>
          <w:spacing w:val="-5"/>
          <w:sz w:val="24"/>
        </w:rPr>
        <w:t>门、创新应用示范空间 </w:t>
      </w:r>
      <w:r>
        <w:rPr>
          <w:sz w:val="24"/>
        </w:rPr>
        <w:t>12</w:t>
      </w:r>
      <w:r>
        <w:rPr>
          <w:spacing w:val="-7"/>
          <w:sz w:val="24"/>
        </w:rPr>
        <w:t> 个、中职教师线上培训《信息化教学设计》系列微课 </w:t>
      </w:r>
      <w:r>
        <w:rPr>
          <w:sz w:val="24"/>
        </w:rPr>
        <w:t>50 余个，化妆品专业教学资源库入选国家级专业教学资源库(备选库)项目建设。</w:t>
      </w:r>
    </w:p>
    <w:p>
      <w:pPr>
        <w:tabs>
          <w:tab w:pos="4859" w:val="left" w:leader="none"/>
        </w:tabs>
        <w:spacing w:before="20"/>
        <w:ind w:left="4068" w:right="0" w:firstLine="0"/>
        <w:jc w:val="left"/>
        <w:rPr>
          <w:b/>
          <w:sz w:val="21"/>
        </w:rPr>
      </w:pPr>
      <w:r>
        <w:rPr>
          <w:b/>
          <w:sz w:val="21"/>
        </w:rPr>
        <w:t>表</w:t>
      </w:r>
      <w:r>
        <w:rPr>
          <w:b/>
          <w:spacing w:val="-52"/>
          <w:sz w:val="21"/>
        </w:rPr>
        <w:t> </w:t>
      </w:r>
      <w:r>
        <w:rPr>
          <w:b/>
          <w:sz w:val="21"/>
        </w:rPr>
        <w:t>3-4</w:t>
        <w:tab/>
        <w:t>学院省级精品在线开放课程名单</w:t>
      </w:r>
    </w:p>
    <w:p>
      <w:pPr>
        <w:pStyle w:val="BodyText"/>
        <w:spacing w:before="11"/>
        <w:rPr>
          <w:b/>
          <w:sz w:val="12"/>
        </w:rPr>
      </w:pPr>
      <w:r>
        <w:rPr/>
        <w:drawing>
          <wp:anchor distT="0" distB="0" distL="0" distR="0" allowOverlap="1" layoutInCell="1" locked="0" behindDoc="0" simplePos="0" relativeHeight="22">
            <wp:simplePos x="0" y="0"/>
            <wp:positionH relativeFrom="page">
              <wp:posOffset>1132332</wp:posOffset>
            </wp:positionH>
            <wp:positionV relativeFrom="paragraph">
              <wp:posOffset>129468</wp:posOffset>
            </wp:positionV>
            <wp:extent cx="5287667" cy="2649950"/>
            <wp:effectExtent l="0" t="0" r="0" b="0"/>
            <wp:wrapTopAndBottom/>
            <wp:docPr id="103" name="image49.jpeg"/>
            <wp:cNvGraphicFramePr>
              <a:graphicFrameLocks noChangeAspect="1"/>
            </wp:cNvGraphicFramePr>
            <a:graphic>
              <a:graphicData uri="http://schemas.openxmlformats.org/drawingml/2006/picture">
                <pic:pic>
                  <pic:nvPicPr>
                    <pic:cNvPr id="104" name="image49.jpeg"/>
                    <pic:cNvPicPr/>
                  </pic:nvPicPr>
                  <pic:blipFill>
                    <a:blip r:embed="rId62" cstate="print"/>
                    <a:stretch>
                      <a:fillRect/>
                    </a:stretch>
                  </pic:blipFill>
                  <pic:spPr>
                    <a:xfrm>
                      <a:off x="0" y="0"/>
                      <a:ext cx="5287667" cy="2649950"/>
                    </a:xfrm>
                    <a:prstGeom prst="rect">
                      <a:avLst/>
                    </a:prstGeom>
                  </pic:spPr>
                </pic:pic>
              </a:graphicData>
            </a:graphic>
          </wp:anchor>
        </w:drawing>
      </w:r>
    </w:p>
    <w:p>
      <w:pPr>
        <w:spacing w:before="161"/>
        <w:ind w:left="0" w:right="1449" w:firstLine="0"/>
        <w:jc w:val="right"/>
        <w:rPr>
          <w:b/>
          <w:sz w:val="21"/>
        </w:rPr>
      </w:pPr>
      <w:r>
        <w:rPr>
          <w:b/>
          <w:w w:val="95"/>
          <w:sz w:val="21"/>
        </w:rPr>
        <w:t>数据来源：湖南省教育厅</w:t>
      </w:r>
    </w:p>
    <w:p>
      <w:pPr>
        <w:pStyle w:val="BodyText"/>
        <w:spacing w:before="1"/>
        <w:rPr>
          <w:b/>
          <w:sz w:val="14"/>
        </w:rPr>
      </w:pPr>
    </w:p>
    <w:p>
      <w:pPr>
        <w:pStyle w:val="Heading2"/>
        <w:ind w:left="1898" w:firstLine="0"/>
        <w:jc w:val="both"/>
      </w:pPr>
      <w:bookmarkStart w:name="【典型案例15】学院牵头组建中国职业教育空间优质原创资源公共服务联盟" w:id="165"/>
      <w:bookmarkEnd w:id="165"/>
      <w:r>
        <w:rPr>
          <w:b w:val="0"/>
        </w:rPr>
      </w:r>
      <w:bookmarkStart w:name="_bookmark60" w:id="166"/>
      <w:bookmarkEnd w:id="166"/>
      <w:r>
        <w:rPr>
          <w:b w:val="0"/>
        </w:rPr>
      </w:r>
      <w:r>
        <w:rPr/>
        <w:t>【典型案例 15】学院牵头组建中国职业教育空间优质原创资源公共服务联盟</w:t>
      </w:r>
    </w:p>
    <w:p>
      <w:pPr>
        <w:pStyle w:val="BodyText"/>
        <w:spacing w:before="7"/>
        <w:rPr>
          <w:rFonts w:ascii="黑体"/>
          <w:b/>
        </w:rPr>
      </w:pPr>
    </w:p>
    <w:p>
      <w:pPr>
        <w:pStyle w:val="BodyText"/>
        <w:spacing w:line="364" w:lineRule="auto"/>
        <w:ind w:left="1418" w:right="1454" w:firstLine="480"/>
        <w:jc w:val="both"/>
      </w:pPr>
      <w:r>
        <w:rPr>
          <w:color w:val="3366FF"/>
        </w:rPr>
        <w:t>7</w:t>
      </w:r>
      <w:r>
        <w:rPr>
          <w:color w:val="3366FF"/>
          <w:spacing w:val="-28"/>
        </w:rPr>
        <w:t> 月 </w:t>
      </w:r>
      <w:r>
        <w:rPr>
          <w:color w:val="3366FF"/>
        </w:rPr>
        <w:t>28</w:t>
      </w:r>
      <w:r>
        <w:rPr>
          <w:color w:val="3366FF"/>
          <w:spacing w:val="-6"/>
        </w:rPr>
        <w:t> 日，以“创新、优质、共享”为主题的职业教育空间优质原创资源建设与</w:t>
      </w:r>
      <w:r>
        <w:rPr>
          <w:color w:val="3366FF"/>
          <w:spacing w:val="-12"/>
        </w:rPr>
        <w:t>共享研讨会在湖南化工职业技术学院召开。与会专家就如何让优质原创职教资源无缝共</w:t>
      </w:r>
      <w:r>
        <w:rPr>
          <w:color w:val="3366FF"/>
          <w:spacing w:val="-11"/>
        </w:rPr>
        <w:t>享提出建议，并倡议由湖南化工职业技术学院牵头组织来自职业教育和教育信息化领域相关部门、院校、企业专家和教师代表共同成立中国职业教育空间优质原创资源公共服</w:t>
      </w:r>
    </w:p>
    <w:p>
      <w:pPr>
        <w:spacing w:after="0" w:line="364" w:lineRule="auto"/>
        <w:jc w:val="both"/>
        <w:sectPr>
          <w:pgSz w:w="11910" w:h="16840"/>
          <w:pgMar w:header="780" w:footer="1241" w:top="1260" w:bottom="1440" w:left="0" w:right="0"/>
        </w:sectPr>
      </w:pPr>
    </w:p>
    <w:p>
      <w:pPr>
        <w:pStyle w:val="BodyText"/>
        <w:rPr>
          <w:sz w:val="12"/>
        </w:rPr>
      </w:pPr>
    </w:p>
    <w:p>
      <w:pPr>
        <w:pStyle w:val="BodyText"/>
        <w:spacing w:before="66"/>
        <w:ind w:left="1418"/>
      </w:pPr>
      <w:r>
        <w:rPr>
          <w:color w:val="3366FF"/>
        </w:rPr>
        <w:t>务联盟。</w:t>
      </w:r>
    </w:p>
    <w:p>
      <w:pPr>
        <w:pStyle w:val="BodyText"/>
        <w:spacing w:line="364" w:lineRule="auto" w:before="161"/>
        <w:ind w:left="1418" w:right="1453" w:firstLine="480"/>
        <w:jc w:val="both"/>
      </w:pPr>
      <w:r>
        <w:rPr/>
        <w:drawing>
          <wp:anchor distT="0" distB="0" distL="0" distR="0" allowOverlap="1" layoutInCell="1" locked="0" behindDoc="0" simplePos="0" relativeHeight="23">
            <wp:simplePos x="0" y="0"/>
            <wp:positionH relativeFrom="page">
              <wp:posOffset>1335024</wp:posOffset>
            </wp:positionH>
            <wp:positionV relativeFrom="paragraph">
              <wp:posOffset>2200148</wp:posOffset>
            </wp:positionV>
            <wp:extent cx="4833804" cy="2421445"/>
            <wp:effectExtent l="0" t="0" r="0" b="0"/>
            <wp:wrapTopAndBottom/>
            <wp:docPr id="105" name="image50.jpeg"/>
            <wp:cNvGraphicFramePr>
              <a:graphicFrameLocks noChangeAspect="1"/>
            </wp:cNvGraphicFramePr>
            <a:graphic>
              <a:graphicData uri="http://schemas.openxmlformats.org/drawingml/2006/picture">
                <pic:pic>
                  <pic:nvPicPr>
                    <pic:cNvPr id="106" name="image50.jpeg"/>
                    <pic:cNvPicPr/>
                  </pic:nvPicPr>
                  <pic:blipFill>
                    <a:blip r:embed="rId63" cstate="print"/>
                    <a:stretch>
                      <a:fillRect/>
                    </a:stretch>
                  </pic:blipFill>
                  <pic:spPr>
                    <a:xfrm>
                      <a:off x="0" y="0"/>
                      <a:ext cx="4833804" cy="2421445"/>
                    </a:xfrm>
                    <a:prstGeom prst="rect">
                      <a:avLst/>
                    </a:prstGeom>
                  </pic:spPr>
                </pic:pic>
              </a:graphicData>
            </a:graphic>
          </wp:anchor>
        </w:drawing>
      </w:r>
      <w:r>
        <w:rPr>
          <w:color w:val="3366FF"/>
          <w:spacing w:val="-6"/>
        </w:rPr>
        <w:t>中国职业教育优质原创空间资源公共服务联盟，负责优质原创空间资源公共服务专</w:t>
      </w:r>
      <w:r>
        <w:rPr>
          <w:color w:val="3366FF"/>
          <w:spacing w:val="-10"/>
        </w:rPr>
        <w:t>家遴选、优质原创空间资源公共服务平台监控管理等工作的组织。将有效解决全国高校精品课程、精品资源共享课、视频公开课等建设项目资源分散、平台繁多且平台与平台</w:t>
      </w:r>
      <w:r>
        <w:rPr>
          <w:color w:val="3366FF"/>
          <w:spacing w:val="-9"/>
        </w:rPr>
        <w:t>之间共享困难、使用率低、使用不方便、老师难以找到好资源、资源建设不可持续等问</w:t>
      </w:r>
      <w:r>
        <w:rPr>
          <w:color w:val="3366FF"/>
          <w:spacing w:val="-10"/>
        </w:rPr>
        <w:t>题。通过有效的联盟机制，凝聚政府、行业、学校以及社会各界的共识与合力，共同为</w:t>
      </w:r>
      <w:r>
        <w:rPr>
          <w:color w:val="3366FF"/>
          <w:spacing w:val="-5"/>
        </w:rPr>
        <w:t>中国职业教育优质原创资源平台的成长提供优质生长的土壤，促进优质原创资源的创新</w:t>
      </w:r>
      <w:r>
        <w:rPr>
          <w:color w:val="3366FF"/>
        </w:rPr>
        <w:t>与共享。</w:t>
      </w:r>
    </w:p>
    <w:p>
      <w:pPr>
        <w:tabs>
          <w:tab w:pos="789" w:val="left" w:leader="none"/>
        </w:tabs>
        <w:spacing w:before="204"/>
        <w:ind w:left="0" w:right="19" w:firstLine="0"/>
        <w:jc w:val="center"/>
        <w:rPr>
          <w:b/>
          <w:sz w:val="21"/>
        </w:rPr>
      </w:pPr>
      <w:r>
        <w:rPr>
          <w:b/>
          <w:sz w:val="21"/>
        </w:rPr>
        <w:t>图</w:t>
      </w:r>
      <w:r>
        <w:rPr>
          <w:b/>
          <w:spacing w:val="-55"/>
          <w:sz w:val="21"/>
        </w:rPr>
        <w:t> </w:t>
      </w:r>
      <w:r>
        <w:rPr>
          <w:b/>
          <w:sz w:val="21"/>
        </w:rPr>
        <w:t>3-5</w:t>
        <w:tab/>
        <w:t>中国职业教育空间优质原创资源公共服务联盟成立大会</w:t>
      </w:r>
    </w:p>
    <w:p>
      <w:pPr>
        <w:pStyle w:val="BodyText"/>
        <w:spacing w:before="1"/>
        <w:rPr>
          <w:b/>
          <w:sz w:val="14"/>
        </w:rPr>
      </w:pPr>
    </w:p>
    <w:p>
      <w:pPr>
        <w:pStyle w:val="Heading2"/>
        <w:ind w:left="1898" w:firstLine="0"/>
      </w:pPr>
      <w:bookmarkStart w:name="【典型案例16】学院立项国家级专业教学资源库(备选库)" w:id="167"/>
      <w:bookmarkEnd w:id="167"/>
      <w:r>
        <w:rPr>
          <w:b w:val="0"/>
        </w:rPr>
      </w:r>
      <w:bookmarkStart w:name="_bookmark61" w:id="168"/>
      <w:bookmarkEnd w:id="168"/>
      <w:r>
        <w:rPr>
          <w:b w:val="0"/>
        </w:rPr>
      </w:r>
      <w:r>
        <w:rPr/>
        <w:t>【典型案例 16】学院立项国家级专业教学资源库(备选库)</w:t>
      </w:r>
    </w:p>
    <w:p>
      <w:pPr>
        <w:pStyle w:val="BodyText"/>
        <w:spacing w:before="7"/>
        <w:rPr>
          <w:rFonts w:ascii="黑体"/>
          <w:b/>
        </w:rPr>
      </w:pPr>
    </w:p>
    <w:p>
      <w:pPr>
        <w:pStyle w:val="BodyText"/>
        <w:spacing w:line="364" w:lineRule="auto"/>
        <w:ind w:left="1418" w:right="1334" w:firstLine="480"/>
      </w:pPr>
      <w:r>
        <w:rPr>
          <w:color w:val="3366FF"/>
          <w:spacing w:val="-4"/>
        </w:rPr>
        <w:t>互联网+时代的到来,教育信息化是教育发展的必由之路。专业教学资源库是促进资</w:t>
      </w:r>
      <w:r>
        <w:rPr>
          <w:color w:val="3366FF"/>
          <w:spacing w:val="-10"/>
        </w:rPr>
        <w:t>源共建共享、边建边用的重要载体，化妆品技术专业按照“国家急需，全国一流”的要</w:t>
      </w:r>
      <w:r>
        <w:rPr>
          <w:color w:val="3366FF"/>
          <w:spacing w:val="-5"/>
        </w:rPr>
        <w:t>求，依托“互联网+”先进技术与手段，打造“互联网</w:t>
      </w:r>
      <w:r>
        <w:rPr>
          <w:color w:val="3366FF"/>
        </w:rPr>
        <w:t>+O2O</w:t>
      </w:r>
      <w:r>
        <w:rPr>
          <w:color w:val="3366FF"/>
          <w:spacing w:val="-8"/>
        </w:rPr>
        <w:t> 个性化”教学模式，建设了化妆品技术专业教学资源库，资源库使用高教社智慧职教平台，由“一个平台”(资源</w:t>
      </w:r>
      <w:r>
        <w:rPr>
          <w:color w:val="3366FF"/>
          <w:spacing w:val="-16"/>
        </w:rPr>
        <w:t>库运行与管理平台)、“五大中心”(专业中心、素材中心、学习中心、辅教中心、</w:t>
      </w:r>
      <w:r>
        <w:rPr>
          <w:color w:val="3366FF"/>
        </w:rPr>
        <w:t>VR/AR </w:t>
      </w:r>
      <w:r>
        <w:rPr>
          <w:color w:val="3366FF"/>
          <w:spacing w:val="-8"/>
        </w:rPr>
        <w:t>体验中心)和“四大模块”(数字博物馆、技能训练营、创美空间、一带一路技术服务走廊)构成。实现“能学辅教、交流培训、科普体验”的功能。资源库的建设加速了教师</w:t>
      </w:r>
      <w:r>
        <w:rPr>
          <w:color w:val="3366FF"/>
          <w:spacing w:val="-13"/>
        </w:rPr>
        <w:t>教学和学生学习模式的变革，突破传统课堂的时间和空间限制，打破以单向传授为主的</w:t>
      </w:r>
      <w:r>
        <w:rPr>
          <w:color w:val="3366FF"/>
          <w:spacing w:val="-19"/>
        </w:rPr>
        <w:t>教学模式，为学生提供个性化的学习支持，向教师提供学生整体和个体的学习统计分析， </w:t>
      </w:r>
      <w:r>
        <w:rPr>
          <w:color w:val="3366FF"/>
          <w:spacing w:val="-8"/>
        </w:rPr>
        <w:t>课程教学管理便捷、实用，推动了“教学为中心”向以“个人学习为中心”的学习模式</w:t>
      </w:r>
    </w:p>
    <w:p>
      <w:pPr>
        <w:spacing w:after="0" w:line="364" w:lineRule="auto"/>
        <w:sectPr>
          <w:pgSz w:w="11910" w:h="16840"/>
          <w:pgMar w:header="780" w:footer="1241" w:top="1260" w:bottom="1440" w:left="0" w:right="0"/>
        </w:sectPr>
      </w:pPr>
    </w:p>
    <w:p>
      <w:pPr>
        <w:pStyle w:val="BodyText"/>
        <w:rPr>
          <w:sz w:val="12"/>
        </w:rPr>
      </w:pPr>
    </w:p>
    <w:p>
      <w:pPr>
        <w:pStyle w:val="BodyText"/>
        <w:spacing w:line="364" w:lineRule="auto" w:before="71"/>
        <w:ind w:left="1418" w:right="1334"/>
      </w:pPr>
      <w:r>
        <w:rPr>
          <w:color w:val="3366FF"/>
        </w:rPr>
        <w:t>转变</w:t>
      </w:r>
      <w:r>
        <w:rPr>
          <w:color w:val="3366FF"/>
          <w:spacing w:val="-51"/>
        </w:rPr>
        <w:t>。</w:t>
      </w:r>
      <w:r>
        <w:rPr>
          <w:color w:val="3366FF"/>
        </w:rPr>
        <w:t>学校课程教学满意率提高了</w:t>
      </w:r>
      <w:r>
        <w:rPr>
          <w:color w:val="3366FF"/>
          <w:spacing w:val="-59"/>
        </w:rPr>
        <w:t> </w:t>
      </w:r>
      <w:r>
        <w:rPr>
          <w:color w:val="3366FF"/>
          <w:spacing w:val="2"/>
        </w:rPr>
        <w:t>15</w:t>
      </w:r>
      <w:r>
        <w:rPr>
          <w:color w:val="3366FF"/>
          <w:spacing w:val="5"/>
        </w:rPr>
        <w:drawing>
          <wp:inline distT="0" distB="0" distL="0" distR="0">
            <wp:extent cx="66674" cy="117474"/>
            <wp:effectExtent l="0" t="0" r="0" b="0"/>
            <wp:docPr id="107" name="image51.png"/>
            <wp:cNvGraphicFramePr>
              <a:graphicFrameLocks noChangeAspect="1"/>
            </wp:cNvGraphicFramePr>
            <a:graphic>
              <a:graphicData uri="http://schemas.openxmlformats.org/drawingml/2006/picture">
                <pic:pic>
                  <pic:nvPicPr>
                    <pic:cNvPr id="108" name="image51.png"/>
                    <pic:cNvPicPr/>
                  </pic:nvPicPr>
                  <pic:blipFill>
                    <a:blip r:embed="rId64" cstate="print"/>
                    <a:stretch>
                      <a:fillRect/>
                    </a:stretch>
                  </pic:blipFill>
                  <pic:spPr>
                    <a:xfrm>
                      <a:off x="0" y="0"/>
                      <a:ext cx="66674" cy="117474"/>
                    </a:xfrm>
                    <a:prstGeom prst="rect">
                      <a:avLst/>
                    </a:prstGeom>
                  </pic:spPr>
                </pic:pic>
              </a:graphicData>
            </a:graphic>
          </wp:inline>
        </w:drawing>
      </w:r>
      <w:r>
        <w:rPr>
          <w:color w:val="3366FF"/>
          <w:spacing w:val="5"/>
        </w:rPr>
      </w:r>
      <w:r>
        <w:rPr>
          <w:color w:val="3366FF"/>
          <w:spacing w:val="-48"/>
        </w:rPr>
        <w:t>，</w:t>
      </w:r>
      <w:r>
        <w:rPr>
          <w:color w:val="3366FF"/>
        </w:rPr>
        <w:t>学生学习满足度提升</w:t>
      </w:r>
      <w:r>
        <w:rPr>
          <w:color w:val="3366FF"/>
          <w:spacing w:val="-59"/>
        </w:rPr>
        <w:t> </w:t>
      </w:r>
      <w:r>
        <w:rPr>
          <w:color w:val="3366FF"/>
          <w:spacing w:val="2"/>
        </w:rPr>
        <w:t>11</w:t>
      </w:r>
      <w:r>
        <w:rPr>
          <w:color w:val="3366FF"/>
          <w:spacing w:val="5"/>
        </w:rPr>
        <w:drawing>
          <wp:inline distT="0" distB="0" distL="0" distR="0">
            <wp:extent cx="66674" cy="117474"/>
            <wp:effectExtent l="0" t="0" r="0" b="0"/>
            <wp:docPr id="109" name="image51.png"/>
            <wp:cNvGraphicFramePr>
              <a:graphicFrameLocks noChangeAspect="1"/>
            </wp:cNvGraphicFramePr>
            <a:graphic>
              <a:graphicData uri="http://schemas.openxmlformats.org/drawingml/2006/picture">
                <pic:pic>
                  <pic:nvPicPr>
                    <pic:cNvPr id="110" name="image51.png"/>
                    <pic:cNvPicPr/>
                  </pic:nvPicPr>
                  <pic:blipFill>
                    <a:blip r:embed="rId64" cstate="print"/>
                    <a:stretch>
                      <a:fillRect/>
                    </a:stretch>
                  </pic:blipFill>
                  <pic:spPr>
                    <a:xfrm>
                      <a:off x="0" y="0"/>
                      <a:ext cx="66674" cy="117474"/>
                    </a:xfrm>
                    <a:prstGeom prst="rect">
                      <a:avLst/>
                    </a:prstGeom>
                  </pic:spPr>
                </pic:pic>
              </a:graphicData>
            </a:graphic>
          </wp:inline>
        </w:drawing>
      </w:r>
      <w:r>
        <w:rPr>
          <w:color w:val="3366FF"/>
          <w:spacing w:val="5"/>
        </w:rPr>
      </w:r>
      <w:r>
        <w:rPr>
          <w:color w:val="3366FF"/>
          <w:spacing w:val="-51"/>
        </w:rPr>
        <w:t>，</w:t>
      </w:r>
      <w:r>
        <w:rPr>
          <w:color w:val="3366FF"/>
        </w:rPr>
        <w:t>课堂到课率提升</w:t>
      </w:r>
      <w:r>
        <w:rPr>
          <w:color w:val="3366FF"/>
          <w:spacing w:val="-60"/>
        </w:rPr>
        <w:t> </w:t>
      </w:r>
      <w:r>
        <w:rPr>
          <w:color w:val="3366FF"/>
          <w:spacing w:val="5"/>
        </w:rPr>
        <w:t>8</w:t>
      </w:r>
      <w:r>
        <w:rPr>
          <w:color w:val="3366FF"/>
          <w:spacing w:val="5"/>
        </w:rPr>
        <w:drawing>
          <wp:inline distT="0" distB="0" distL="0" distR="0">
            <wp:extent cx="66674" cy="117474"/>
            <wp:effectExtent l="0" t="0" r="0" b="0"/>
            <wp:docPr id="111" name="image51.png"/>
            <wp:cNvGraphicFramePr>
              <a:graphicFrameLocks noChangeAspect="1"/>
            </wp:cNvGraphicFramePr>
            <a:graphic>
              <a:graphicData uri="http://schemas.openxmlformats.org/drawingml/2006/picture">
                <pic:pic>
                  <pic:nvPicPr>
                    <pic:cNvPr id="112" name="image51.png"/>
                    <pic:cNvPicPr/>
                  </pic:nvPicPr>
                  <pic:blipFill>
                    <a:blip r:embed="rId64" cstate="print"/>
                    <a:stretch>
                      <a:fillRect/>
                    </a:stretch>
                  </pic:blipFill>
                  <pic:spPr>
                    <a:xfrm>
                      <a:off x="0" y="0"/>
                      <a:ext cx="66674" cy="117474"/>
                    </a:xfrm>
                    <a:prstGeom prst="rect">
                      <a:avLst/>
                    </a:prstGeom>
                  </pic:spPr>
                </pic:pic>
              </a:graphicData>
            </a:graphic>
          </wp:inline>
        </w:drawing>
      </w:r>
      <w:r>
        <w:rPr>
          <w:color w:val="3366FF"/>
          <w:spacing w:val="5"/>
        </w:rPr>
      </w:r>
      <w:r>
        <w:rPr>
          <w:color w:val="3366FF"/>
        </w:rPr>
        <w:t>， </w:t>
      </w:r>
      <w:r>
        <w:rPr>
          <w:color w:val="3366FF"/>
          <w:position w:val="1"/>
        </w:rPr>
        <w:t>课程</w:t>
      </w:r>
      <w:r>
        <w:rPr>
          <w:color w:val="3366FF"/>
          <w:spacing w:val="4"/>
          <w:position w:val="1"/>
        </w:rPr>
        <w:t>考</w:t>
      </w:r>
      <w:r>
        <w:rPr>
          <w:color w:val="3366FF"/>
          <w:position w:val="1"/>
        </w:rPr>
        <w:t>核合格率和</w:t>
      </w:r>
      <w:r>
        <w:rPr>
          <w:color w:val="3366FF"/>
          <w:spacing w:val="4"/>
          <w:position w:val="1"/>
        </w:rPr>
        <w:t>优</w:t>
      </w:r>
      <w:r>
        <w:rPr>
          <w:color w:val="3366FF"/>
          <w:position w:val="1"/>
        </w:rPr>
        <w:t>良率分别</w:t>
      </w:r>
      <w:r>
        <w:rPr>
          <w:color w:val="3366FF"/>
          <w:spacing w:val="4"/>
          <w:position w:val="1"/>
        </w:rPr>
        <w:t>提</w:t>
      </w:r>
      <w:r>
        <w:rPr>
          <w:color w:val="3366FF"/>
          <w:position w:val="1"/>
        </w:rPr>
        <w:t>升</w:t>
      </w:r>
      <w:r>
        <w:rPr>
          <w:color w:val="3366FF"/>
          <w:spacing w:val="27"/>
          <w:position w:val="1"/>
        </w:rPr>
        <w:t> </w:t>
      </w:r>
      <w:r>
        <w:rPr>
          <w:color w:val="3366FF"/>
          <w:spacing w:val="2"/>
          <w:position w:val="1"/>
        </w:rPr>
        <w:t>10</w:t>
      </w:r>
      <w:r>
        <w:rPr>
          <w:color w:val="3366FF"/>
          <w:spacing w:val="5"/>
        </w:rPr>
        <w:drawing>
          <wp:inline distT="0" distB="0" distL="0" distR="0">
            <wp:extent cx="66674" cy="117474"/>
            <wp:effectExtent l="0" t="0" r="0" b="0"/>
            <wp:docPr id="113" name="image51.png"/>
            <wp:cNvGraphicFramePr>
              <a:graphicFrameLocks noChangeAspect="1"/>
            </wp:cNvGraphicFramePr>
            <a:graphic>
              <a:graphicData uri="http://schemas.openxmlformats.org/drawingml/2006/picture">
                <pic:pic>
                  <pic:nvPicPr>
                    <pic:cNvPr id="114" name="image51.png"/>
                    <pic:cNvPicPr/>
                  </pic:nvPicPr>
                  <pic:blipFill>
                    <a:blip r:embed="rId64" cstate="print"/>
                    <a:stretch>
                      <a:fillRect/>
                    </a:stretch>
                  </pic:blipFill>
                  <pic:spPr>
                    <a:xfrm>
                      <a:off x="0" y="0"/>
                      <a:ext cx="66674" cy="117474"/>
                    </a:xfrm>
                    <a:prstGeom prst="rect">
                      <a:avLst/>
                    </a:prstGeom>
                  </pic:spPr>
                </pic:pic>
              </a:graphicData>
            </a:graphic>
          </wp:inline>
        </w:drawing>
      </w:r>
      <w:r>
        <w:rPr>
          <w:color w:val="3366FF"/>
          <w:spacing w:val="5"/>
        </w:rPr>
      </w:r>
      <w:r>
        <w:rPr>
          <w:color w:val="3366FF"/>
          <w:position w:val="1"/>
        </w:rPr>
        <w:t>、</w:t>
      </w:r>
      <w:r>
        <w:rPr>
          <w:color w:val="3366FF"/>
          <w:spacing w:val="2"/>
          <w:position w:val="1"/>
        </w:rPr>
        <w:t>15</w:t>
      </w:r>
      <w:r>
        <w:rPr>
          <w:color w:val="3366FF"/>
          <w:spacing w:val="-117"/>
          <w:position w:val="1"/>
        </w:rPr>
        <w:t> </w:t>
      </w:r>
      <w:r>
        <w:rPr>
          <w:color w:val="3366FF"/>
          <w:spacing w:val="5"/>
        </w:rPr>
        <w:drawing>
          <wp:inline distT="0" distB="0" distL="0" distR="0">
            <wp:extent cx="66674" cy="117474"/>
            <wp:effectExtent l="0" t="0" r="0" b="0"/>
            <wp:docPr id="115" name="image51.png"/>
            <wp:cNvGraphicFramePr>
              <a:graphicFrameLocks noChangeAspect="1"/>
            </wp:cNvGraphicFramePr>
            <a:graphic>
              <a:graphicData uri="http://schemas.openxmlformats.org/drawingml/2006/picture">
                <pic:pic>
                  <pic:nvPicPr>
                    <pic:cNvPr id="116" name="image51.png"/>
                    <pic:cNvPicPr/>
                  </pic:nvPicPr>
                  <pic:blipFill>
                    <a:blip r:embed="rId64" cstate="print"/>
                    <a:stretch>
                      <a:fillRect/>
                    </a:stretch>
                  </pic:blipFill>
                  <pic:spPr>
                    <a:xfrm>
                      <a:off x="0" y="0"/>
                      <a:ext cx="66674" cy="117474"/>
                    </a:xfrm>
                    <a:prstGeom prst="rect">
                      <a:avLst/>
                    </a:prstGeom>
                  </pic:spPr>
                </pic:pic>
              </a:graphicData>
            </a:graphic>
          </wp:inline>
        </w:drawing>
      </w:r>
      <w:r>
        <w:rPr>
          <w:color w:val="3366FF"/>
          <w:spacing w:val="5"/>
        </w:rPr>
      </w:r>
      <w:r>
        <w:rPr>
          <w:color w:val="3366FF"/>
          <w:position w:val="1"/>
        </w:rPr>
        <w:t>；麦</w:t>
      </w:r>
      <w:r>
        <w:rPr>
          <w:color w:val="3366FF"/>
          <w:spacing w:val="4"/>
          <w:position w:val="1"/>
        </w:rPr>
        <w:t>可</w:t>
      </w:r>
      <w:r>
        <w:rPr>
          <w:color w:val="3366FF"/>
          <w:position w:val="1"/>
        </w:rPr>
        <w:t>思调查显示，2015-2017</w:t>
      </w:r>
      <w:r>
        <w:rPr>
          <w:color w:val="3366FF"/>
          <w:spacing w:val="-53"/>
          <w:position w:val="1"/>
        </w:rPr>
        <w:t> </w:t>
      </w:r>
      <w:r>
        <w:rPr>
          <w:color w:val="3366FF"/>
          <w:position w:val="1"/>
        </w:rPr>
        <w:t>届毕</w:t>
      </w:r>
      <w:r>
        <w:rPr>
          <w:color w:val="3366FF"/>
          <w:spacing w:val="4"/>
          <w:position w:val="1"/>
        </w:rPr>
        <w:t>业</w:t>
      </w:r>
      <w:r>
        <w:rPr>
          <w:color w:val="3366FF"/>
          <w:position w:val="1"/>
        </w:rPr>
        <w:t>生</w:t>
      </w:r>
      <w:r>
        <w:rPr>
          <w:color w:val="3366FF"/>
        </w:rPr>
        <w:t>对母校核</w:t>
      </w:r>
      <w:r>
        <w:rPr>
          <w:color w:val="3366FF"/>
          <w:spacing w:val="4"/>
        </w:rPr>
        <w:t>心</w:t>
      </w:r>
      <w:r>
        <w:rPr>
          <w:color w:val="3366FF"/>
        </w:rPr>
        <w:t>课程培养效果和教</w:t>
      </w:r>
      <w:r>
        <w:rPr>
          <w:color w:val="3366FF"/>
          <w:spacing w:val="4"/>
        </w:rPr>
        <w:t>学</w:t>
      </w:r>
      <w:r>
        <w:rPr>
          <w:color w:val="3366FF"/>
        </w:rPr>
        <w:t>工作整体满意度</w:t>
      </w:r>
      <w:r>
        <w:rPr>
          <w:color w:val="3366FF"/>
          <w:spacing w:val="4"/>
        </w:rPr>
        <w:t>分</w:t>
      </w:r>
      <w:r>
        <w:rPr>
          <w:color w:val="3366FF"/>
        </w:rPr>
        <w:t>别提升</w:t>
      </w:r>
      <w:r>
        <w:rPr>
          <w:color w:val="3366FF"/>
          <w:spacing w:val="-17"/>
        </w:rPr>
        <w:t> </w:t>
      </w:r>
      <w:r>
        <w:rPr>
          <w:color w:val="3366FF"/>
          <w:spacing w:val="2"/>
        </w:rPr>
        <w:t>11</w:t>
      </w:r>
      <w:r>
        <w:rPr>
          <w:color w:val="3366FF"/>
          <w:spacing w:val="5"/>
        </w:rPr>
        <w:drawing>
          <wp:inline distT="0" distB="0" distL="0" distR="0">
            <wp:extent cx="66674" cy="117474"/>
            <wp:effectExtent l="0" t="0" r="0" b="0"/>
            <wp:docPr id="117" name="image51.png"/>
            <wp:cNvGraphicFramePr>
              <a:graphicFrameLocks noChangeAspect="1"/>
            </wp:cNvGraphicFramePr>
            <a:graphic>
              <a:graphicData uri="http://schemas.openxmlformats.org/drawingml/2006/picture">
                <pic:pic>
                  <pic:nvPicPr>
                    <pic:cNvPr id="118" name="image51.png"/>
                    <pic:cNvPicPr/>
                  </pic:nvPicPr>
                  <pic:blipFill>
                    <a:blip r:embed="rId64" cstate="print"/>
                    <a:stretch>
                      <a:fillRect/>
                    </a:stretch>
                  </pic:blipFill>
                  <pic:spPr>
                    <a:xfrm>
                      <a:off x="0" y="0"/>
                      <a:ext cx="66674" cy="117474"/>
                    </a:xfrm>
                    <a:prstGeom prst="rect">
                      <a:avLst/>
                    </a:prstGeom>
                  </pic:spPr>
                </pic:pic>
              </a:graphicData>
            </a:graphic>
          </wp:inline>
        </w:drawing>
      </w:r>
      <w:r>
        <w:rPr>
          <w:color w:val="3366FF"/>
          <w:spacing w:val="5"/>
        </w:rPr>
      </w:r>
      <w:r>
        <w:rPr>
          <w:color w:val="3366FF"/>
        </w:rPr>
        <w:t>和</w:t>
      </w:r>
      <w:r>
        <w:rPr>
          <w:color w:val="3366FF"/>
          <w:spacing w:val="-58"/>
        </w:rPr>
        <w:t> </w:t>
      </w:r>
      <w:r>
        <w:rPr>
          <w:color w:val="3366FF"/>
          <w:spacing w:val="5"/>
        </w:rPr>
        <w:t>4</w:t>
      </w:r>
      <w:r>
        <w:rPr>
          <w:color w:val="3366FF"/>
          <w:spacing w:val="5"/>
        </w:rPr>
        <w:drawing>
          <wp:inline distT="0" distB="0" distL="0" distR="0">
            <wp:extent cx="66674" cy="117474"/>
            <wp:effectExtent l="0" t="0" r="0" b="0"/>
            <wp:docPr id="119" name="image51.png"/>
            <wp:cNvGraphicFramePr>
              <a:graphicFrameLocks noChangeAspect="1"/>
            </wp:cNvGraphicFramePr>
            <a:graphic>
              <a:graphicData uri="http://schemas.openxmlformats.org/drawingml/2006/picture">
                <pic:pic>
                  <pic:nvPicPr>
                    <pic:cNvPr id="120" name="image51.png"/>
                    <pic:cNvPicPr/>
                  </pic:nvPicPr>
                  <pic:blipFill>
                    <a:blip r:embed="rId64" cstate="print"/>
                    <a:stretch>
                      <a:fillRect/>
                    </a:stretch>
                  </pic:blipFill>
                  <pic:spPr>
                    <a:xfrm>
                      <a:off x="0" y="0"/>
                      <a:ext cx="66674" cy="117474"/>
                    </a:xfrm>
                    <a:prstGeom prst="rect">
                      <a:avLst/>
                    </a:prstGeom>
                  </pic:spPr>
                </pic:pic>
              </a:graphicData>
            </a:graphic>
          </wp:inline>
        </w:drawing>
      </w:r>
      <w:r>
        <w:rPr>
          <w:color w:val="3366FF"/>
          <w:spacing w:val="5"/>
        </w:rPr>
      </w:r>
      <w:r>
        <w:rPr>
          <w:color w:val="3366FF"/>
        </w:rPr>
        <w:t>。2018</w:t>
      </w:r>
      <w:r>
        <w:rPr>
          <w:color w:val="3366FF"/>
          <w:spacing w:val="-56"/>
        </w:rPr>
        <w:t> </w:t>
      </w:r>
      <w:r>
        <w:rPr>
          <w:color w:val="3366FF"/>
        </w:rPr>
        <w:t>年入选国家级教学资源备选库。</w:t>
      </w:r>
    </w:p>
    <w:p>
      <w:pPr>
        <w:pStyle w:val="Heading2"/>
        <w:numPr>
          <w:ilvl w:val="1"/>
          <w:numId w:val="3"/>
        </w:numPr>
        <w:tabs>
          <w:tab w:pos="2471" w:val="left" w:leader="none"/>
          <w:tab w:pos="2472" w:val="left" w:leader="none"/>
        </w:tabs>
        <w:spacing w:line="240" w:lineRule="auto" w:before="74" w:after="0"/>
        <w:ind w:left="2472" w:right="0" w:hanging="574"/>
        <w:jc w:val="left"/>
      </w:pPr>
      <w:bookmarkStart w:name="3.6  师资队伍" w:id="169"/>
      <w:bookmarkEnd w:id="169"/>
      <w:r>
        <w:rPr>
          <w:b w:val="0"/>
        </w:rPr>
      </w:r>
      <w:bookmarkStart w:name="_bookmark62" w:id="170"/>
      <w:bookmarkEnd w:id="170"/>
      <w:r>
        <w:rPr>
          <w:b w:val="0"/>
        </w:rPr>
      </w:r>
      <w:bookmarkStart w:name="_bookmark62" w:id="171"/>
      <w:bookmarkEnd w:id="171"/>
      <w:r>
        <w:rPr/>
        <w:t>师资队伍</w:t>
      </w:r>
    </w:p>
    <w:p>
      <w:pPr>
        <w:pStyle w:val="BodyText"/>
        <w:spacing w:before="7"/>
        <w:rPr>
          <w:rFonts w:ascii="黑体"/>
          <w:b/>
        </w:rPr>
      </w:pPr>
    </w:p>
    <w:p>
      <w:pPr>
        <w:pStyle w:val="BodyText"/>
        <w:spacing w:line="364" w:lineRule="auto"/>
        <w:ind w:left="1418" w:right="1417" w:firstLine="480"/>
        <w:jc w:val="both"/>
      </w:pPr>
      <w:r>
        <w:rPr>
          <w:spacing w:val="-5"/>
        </w:rPr>
        <w:t>为适应学院教育教学、专业发展、应用技术研发与服务需要，学院依据省级卓越校</w:t>
      </w:r>
      <w:r>
        <w:rPr/>
        <w:t>建设要求和《湖南化工职业技术学院教师队伍建设三年规划(2017—2019</w:t>
      </w:r>
      <w:r>
        <w:rPr>
          <w:spacing w:val="-25"/>
        </w:rPr>
        <w:t> 年)》，以“双</w:t>
      </w:r>
      <w:r>
        <w:rPr>
          <w:spacing w:val="-8"/>
        </w:rPr>
        <w:t>师型”教师队伍建设为核心，加强教学名师、专业带头人、骨干教师、青年教师培养和</w:t>
      </w:r>
      <w:r>
        <w:rPr>
          <w:spacing w:val="-6"/>
        </w:rPr>
        <w:t>兼职教师队伍建设，推进专业教学团队建设，通过培养、引进和聘请等多种方式，提升</w:t>
      </w:r>
      <w:r>
        <w:rPr>
          <w:spacing w:val="-7"/>
        </w:rPr>
        <w:t>教师整体素质。学院教师队伍学历结构、“双师”结构和专业结构进一步优化，高职教</w:t>
      </w:r>
      <w:r>
        <w:rPr>
          <w:spacing w:val="-10"/>
        </w:rPr>
        <w:t>育教学理念、专业知识体系和专业实践能力进一步加强，教师的教学能力普遍提高。应</w:t>
      </w:r>
      <w:r>
        <w:rPr/>
        <w:t>用技术研发与服务团队协同发展，教师应用技术研发与服务能力明显增强。</w:t>
      </w:r>
    </w:p>
    <w:p>
      <w:pPr>
        <w:pStyle w:val="Heading2"/>
        <w:numPr>
          <w:ilvl w:val="2"/>
          <w:numId w:val="3"/>
        </w:numPr>
        <w:tabs>
          <w:tab w:pos="2743" w:val="left" w:leader="none"/>
          <w:tab w:pos="2744" w:val="left" w:leader="none"/>
        </w:tabs>
        <w:spacing w:line="240" w:lineRule="auto" w:before="76" w:after="0"/>
        <w:ind w:left="2743" w:right="0" w:hanging="846"/>
        <w:jc w:val="left"/>
      </w:pPr>
      <w:bookmarkStart w:name="3.6.1  教师队伍整体情况" w:id="172"/>
      <w:bookmarkEnd w:id="172"/>
      <w:r>
        <w:rPr>
          <w:b w:val="0"/>
        </w:rPr>
      </w:r>
      <w:bookmarkStart w:name="_bookmark63" w:id="173"/>
      <w:bookmarkEnd w:id="173"/>
      <w:r>
        <w:rPr>
          <w:b w:val="0"/>
        </w:rPr>
      </w:r>
      <w:bookmarkStart w:name="_bookmark63" w:id="174"/>
      <w:bookmarkEnd w:id="174"/>
      <w:r>
        <w:rPr/>
        <w:t>教师队伍整体情况</w:t>
      </w:r>
    </w:p>
    <w:p>
      <w:pPr>
        <w:pStyle w:val="BodyText"/>
        <w:spacing w:before="7"/>
        <w:rPr>
          <w:rFonts w:ascii="黑体"/>
          <w:b/>
          <w:sz w:val="18"/>
        </w:rPr>
      </w:pPr>
    </w:p>
    <w:p>
      <w:pPr>
        <w:pStyle w:val="BodyText"/>
        <w:spacing w:line="362" w:lineRule="auto"/>
        <w:ind w:left="1418" w:right="1417" w:firstLine="480"/>
        <w:jc w:val="both"/>
      </w:pPr>
      <w:r>
        <w:rPr>
          <w:spacing w:val="-6"/>
        </w:rPr>
        <w:t>学院现有专任教师 </w:t>
      </w:r>
      <w:r>
        <w:rPr/>
        <w:t>393</w:t>
      </w:r>
      <w:r>
        <w:rPr>
          <w:spacing w:val="-7"/>
        </w:rPr>
        <w:t> 人，其中，具有高级职称比例达 </w:t>
      </w:r>
      <w:r>
        <w:rPr/>
        <w:t>44.27%，具有博士学位的18</w:t>
      </w:r>
      <w:r>
        <w:rPr>
          <w:spacing w:val="-26"/>
        </w:rPr>
        <w:t> 人，占比 </w:t>
      </w:r>
      <w:r>
        <w:rPr>
          <w:spacing w:val="-5"/>
        </w:rPr>
        <w:t>4.58%</w:t>
      </w:r>
      <w:r>
        <w:rPr>
          <w:spacing w:val="-9"/>
        </w:rPr>
        <w:t>，双师素质教师 </w:t>
      </w:r>
      <w:r>
        <w:rPr/>
        <w:t>321</w:t>
      </w:r>
      <w:r>
        <w:rPr>
          <w:spacing w:val="-25"/>
        </w:rPr>
        <w:t> 人，占比 </w:t>
      </w:r>
      <w:r>
        <w:rPr>
          <w:spacing w:val="-5"/>
        </w:rPr>
        <w:t>81.68%</w:t>
      </w:r>
      <w:r>
        <w:rPr>
          <w:spacing w:val="-4"/>
        </w:rPr>
        <w:t>，以上比例均明显高于国家示范</w:t>
      </w:r>
    </w:p>
    <w:p>
      <w:pPr>
        <w:pStyle w:val="BodyText"/>
        <w:spacing w:before="5"/>
        <w:ind w:left="1418"/>
      </w:pPr>
      <w:r>
        <w:rPr/>
        <w:t>高职院校、省示范高职院校及全国和全省高职院校中位水平。学院有湖南省党代表 1 名，</w:t>
      </w:r>
    </w:p>
    <w:p>
      <w:pPr>
        <w:pStyle w:val="BodyText"/>
        <w:spacing w:before="158"/>
        <w:ind w:left="1418"/>
      </w:pPr>
      <w:r>
        <w:rPr>
          <w:spacing w:val="-7"/>
        </w:rPr>
        <w:t>近年来，先后培育了省级、行业教学名师 </w:t>
      </w:r>
      <w:r>
        <w:rPr/>
        <w:t>9</w:t>
      </w:r>
      <w:r>
        <w:rPr>
          <w:spacing w:val="-14"/>
        </w:rPr>
        <w:t> 人，省级以上学科、专业带头人 </w:t>
      </w:r>
      <w:r>
        <w:rPr/>
        <w:t>6</w:t>
      </w:r>
      <w:r>
        <w:rPr>
          <w:spacing w:val="-15"/>
        </w:rPr>
        <w:t> 人，省级</w:t>
      </w:r>
    </w:p>
    <w:p>
      <w:pPr>
        <w:pStyle w:val="BodyText"/>
        <w:spacing w:before="160"/>
        <w:ind w:left="1418"/>
      </w:pPr>
      <w:r>
        <w:rPr>
          <w:spacing w:val="-12"/>
        </w:rPr>
        <w:t>教学团队 </w:t>
      </w:r>
      <w:r>
        <w:rPr/>
        <w:t>3</w:t>
      </w:r>
      <w:r>
        <w:rPr>
          <w:spacing w:val="-14"/>
        </w:rPr>
        <w:t> 个，行业优秀教学团队 </w:t>
      </w:r>
      <w:r>
        <w:rPr/>
        <w:t>2</w:t>
      </w:r>
      <w:r>
        <w:rPr>
          <w:spacing w:val="-13"/>
        </w:rPr>
        <w:t> 个。教师获得国家级教学成果奖 </w:t>
      </w:r>
      <w:r>
        <w:rPr/>
        <w:t>4</w:t>
      </w:r>
      <w:r>
        <w:rPr>
          <w:spacing w:val="-11"/>
        </w:rPr>
        <w:t> 项，教师在全国</w:t>
      </w:r>
    </w:p>
    <w:p>
      <w:pPr>
        <w:pStyle w:val="BodyText"/>
        <w:spacing w:before="161"/>
        <w:ind w:left="1418"/>
      </w:pPr>
      <w:r>
        <w:rPr>
          <w:spacing w:val="-4"/>
        </w:rPr>
        <w:t>职业院校信息化教学大赛获一等奖 </w:t>
      </w:r>
      <w:r>
        <w:rPr/>
        <w:t>2</w:t>
      </w:r>
      <w:r>
        <w:rPr>
          <w:spacing w:val="-21"/>
        </w:rPr>
        <w:t> 项、二等奖 </w:t>
      </w:r>
      <w:r>
        <w:rPr/>
        <w:t>5</w:t>
      </w:r>
      <w:r>
        <w:rPr>
          <w:spacing w:val="-21"/>
        </w:rPr>
        <w:t> 项、三等奖 </w:t>
      </w:r>
      <w:r>
        <w:rPr/>
        <w:t>1</w:t>
      </w:r>
      <w:r>
        <w:rPr>
          <w:spacing w:val="-9"/>
        </w:rPr>
        <w:t> 项，获省级教学竞赛一</w:t>
      </w:r>
    </w:p>
    <w:p>
      <w:pPr>
        <w:pStyle w:val="BodyText"/>
        <w:spacing w:before="158"/>
        <w:ind w:left="1418"/>
      </w:pPr>
      <w:r>
        <w:rPr>
          <w:spacing w:val="-20"/>
        </w:rPr>
        <w:t>等奖 </w:t>
      </w:r>
      <w:r>
        <w:rPr/>
        <w:t>25</w:t>
      </w:r>
      <w:r>
        <w:rPr>
          <w:spacing w:val="-22"/>
        </w:rPr>
        <w:t> 项、二等奖 </w:t>
      </w:r>
      <w:r>
        <w:rPr/>
        <w:t>27</w:t>
      </w:r>
      <w:r>
        <w:rPr>
          <w:spacing w:val="-22"/>
        </w:rPr>
        <w:t> 项，三等奖 </w:t>
      </w:r>
      <w:r>
        <w:rPr/>
        <w:t>22</w:t>
      </w:r>
      <w:r>
        <w:rPr>
          <w:spacing w:val="-15"/>
        </w:rPr>
        <w:t> 项，位居全省前列。申请专利 </w:t>
      </w:r>
      <w:r>
        <w:rPr/>
        <w:t>72</w:t>
      </w:r>
      <w:r>
        <w:rPr>
          <w:spacing w:val="-19"/>
        </w:rPr>
        <w:t> 项，授权专利 </w:t>
      </w:r>
      <w:r>
        <w:rPr/>
        <w:t>32</w:t>
      </w:r>
    </w:p>
    <w:p>
      <w:pPr>
        <w:pStyle w:val="BodyText"/>
        <w:spacing w:before="160"/>
        <w:ind w:left="1418"/>
      </w:pPr>
      <w:r>
        <w:rPr/>
        <w:t>项，其中发明专利 4 项。近三年来，学校主持完成国家级、省部级课题 160 项，其中，</w:t>
      </w:r>
    </w:p>
    <w:p>
      <w:pPr>
        <w:pStyle w:val="BodyText"/>
        <w:spacing w:before="159"/>
        <w:ind w:left="1418"/>
      </w:pPr>
      <w:r>
        <w:rPr/>
        <w:t>主持国家社科基金项目 1 项、教育部重点课题 2 项。</w:t>
      </w:r>
    </w:p>
    <w:p>
      <w:pPr>
        <w:spacing w:after="0"/>
        <w:sectPr>
          <w:pgSz w:w="11910" w:h="16840"/>
          <w:pgMar w:header="780" w:footer="1241" w:top="1260" w:bottom="1440" w:left="0" w:right="0"/>
        </w:sectPr>
      </w:pPr>
    </w:p>
    <w:p>
      <w:pPr>
        <w:pStyle w:val="BodyText"/>
        <w:spacing w:before="7"/>
        <w:rPr>
          <w:sz w:val="21"/>
        </w:rPr>
      </w:pPr>
    </w:p>
    <w:p>
      <w:pPr>
        <w:pStyle w:val="BodyText"/>
        <w:ind w:left="1927"/>
        <w:rPr>
          <w:sz w:val="20"/>
        </w:rPr>
      </w:pPr>
      <w:r>
        <w:rPr>
          <w:sz w:val="20"/>
        </w:rPr>
        <w:drawing>
          <wp:inline distT="0" distB="0" distL="0" distR="0">
            <wp:extent cx="5077585" cy="2400300"/>
            <wp:effectExtent l="0" t="0" r="0" b="0"/>
            <wp:docPr id="121" name="image52.png"/>
            <wp:cNvGraphicFramePr>
              <a:graphicFrameLocks noChangeAspect="1"/>
            </wp:cNvGraphicFramePr>
            <a:graphic>
              <a:graphicData uri="http://schemas.openxmlformats.org/drawingml/2006/picture">
                <pic:pic>
                  <pic:nvPicPr>
                    <pic:cNvPr id="122" name="image52.png"/>
                    <pic:cNvPicPr/>
                  </pic:nvPicPr>
                  <pic:blipFill>
                    <a:blip r:embed="rId65" cstate="print"/>
                    <a:stretch>
                      <a:fillRect/>
                    </a:stretch>
                  </pic:blipFill>
                  <pic:spPr>
                    <a:xfrm>
                      <a:off x="0" y="0"/>
                      <a:ext cx="5077585" cy="2400300"/>
                    </a:xfrm>
                    <a:prstGeom prst="rect">
                      <a:avLst/>
                    </a:prstGeom>
                  </pic:spPr>
                </pic:pic>
              </a:graphicData>
            </a:graphic>
          </wp:inline>
        </w:drawing>
      </w:r>
      <w:r>
        <w:rPr>
          <w:sz w:val="20"/>
        </w:rPr>
      </w:r>
    </w:p>
    <w:p>
      <w:pPr>
        <w:pStyle w:val="BodyText"/>
        <w:spacing w:before="1"/>
        <w:rPr>
          <w:sz w:val="7"/>
        </w:rPr>
      </w:pPr>
    </w:p>
    <w:p>
      <w:pPr>
        <w:tabs>
          <w:tab w:pos="791" w:val="left" w:leader="none"/>
        </w:tabs>
        <w:spacing w:before="70"/>
        <w:ind w:left="0" w:right="23" w:firstLine="0"/>
        <w:jc w:val="center"/>
        <w:rPr>
          <w:b/>
          <w:sz w:val="21"/>
        </w:rPr>
      </w:pPr>
      <w:r>
        <w:rPr>
          <w:b/>
          <w:sz w:val="21"/>
        </w:rPr>
        <w:t>图</w:t>
      </w:r>
      <w:r>
        <w:rPr>
          <w:b/>
          <w:spacing w:val="-53"/>
          <w:sz w:val="21"/>
        </w:rPr>
        <w:t> </w:t>
      </w:r>
      <w:r>
        <w:rPr>
          <w:b/>
          <w:sz w:val="21"/>
        </w:rPr>
        <w:t>3-6</w:t>
        <w:tab/>
        <w:t>专任教师高级职务教师占比情况示意图</w:t>
      </w:r>
    </w:p>
    <w:p>
      <w:pPr>
        <w:spacing w:before="43"/>
        <w:ind w:left="4390" w:right="1" w:firstLine="0"/>
        <w:jc w:val="center"/>
        <w:rPr>
          <w:b/>
          <w:sz w:val="21"/>
        </w:rPr>
      </w:pPr>
      <w:r>
        <w:rPr/>
        <w:drawing>
          <wp:anchor distT="0" distB="0" distL="0" distR="0" allowOverlap="1" layoutInCell="1" locked="0" behindDoc="0" simplePos="0" relativeHeight="24">
            <wp:simplePos x="0" y="0"/>
            <wp:positionH relativeFrom="page">
              <wp:posOffset>1234439</wp:posOffset>
            </wp:positionH>
            <wp:positionV relativeFrom="paragraph">
              <wp:posOffset>260604</wp:posOffset>
            </wp:positionV>
            <wp:extent cx="5057775" cy="2476500"/>
            <wp:effectExtent l="0" t="0" r="0" b="0"/>
            <wp:wrapTopAndBottom/>
            <wp:docPr id="123" name="image53.png"/>
            <wp:cNvGraphicFramePr>
              <a:graphicFrameLocks noChangeAspect="1"/>
            </wp:cNvGraphicFramePr>
            <a:graphic>
              <a:graphicData uri="http://schemas.openxmlformats.org/drawingml/2006/picture">
                <pic:pic>
                  <pic:nvPicPr>
                    <pic:cNvPr id="124" name="image53.png"/>
                    <pic:cNvPicPr/>
                  </pic:nvPicPr>
                  <pic:blipFill>
                    <a:blip r:embed="rId66" cstate="print"/>
                    <a:stretch>
                      <a:fillRect/>
                    </a:stretch>
                  </pic:blipFill>
                  <pic:spPr>
                    <a:xfrm>
                      <a:off x="0" y="0"/>
                      <a:ext cx="5057775" cy="2476500"/>
                    </a:xfrm>
                    <a:prstGeom prst="rect">
                      <a:avLst/>
                    </a:prstGeom>
                  </pic:spPr>
                </pic:pic>
              </a:graphicData>
            </a:graphic>
          </wp:anchor>
        </w:drawing>
      </w:r>
      <w:r>
        <w:rPr>
          <w:b/>
          <w:sz w:val="21"/>
        </w:rPr>
        <w:t>数据来源：全国高职院校状态数据采集与管理系统</w:t>
      </w:r>
    </w:p>
    <w:p>
      <w:pPr>
        <w:tabs>
          <w:tab w:pos="791" w:val="left" w:leader="none"/>
        </w:tabs>
        <w:spacing w:before="71"/>
        <w:ind w:left="0" w:right="26" w:firstLine="0"/>
        <w:jc w:val="center"/>
        <w:rPr>
          <w:b/>
          <w:sz w:val="21"/>
        </w:rPr>
      </w:pPr>
      <w:r>
        <w:rPr>
          <w:b/>
          <w:sz w:val="21"/>
        </w:rPr>
        <w:t>图</w:t>
      </w:r>
      <w:r>
        <w:rPr>
          <w:b/>
          <w:spacing w:val="-53"/>
          <w:sz w:val="21"/>
        </w:rPr>
        <w:t> </w:t>
      </w:r>
      <w:r>
        <w:rPr>
          <w:b/>
          <w:sz w:val="21"/>
        </w:rPr>
        <w:t>3-7</w:t>
        <w:tab/>
        <w:t>专任教师双师素质比例示意图</w:t>
      </w:r>
    </w:p>
    <w:p>
      <w:pPr>
        <w:spacing w:before="43"/>
        <w:ind w:left="4390" w:right="1" w:firstLine="0"/>
        <w:jc w:val="center"/>
        <w:rPr>
          <w:b/>
          <w:sz w:val="21"/>
        </w:rPr>
      </w:pPr>
      <w:r>
        <w:rPr>
          <w:b/>
          <w:sz w:val="21"/>
        </w:rPr>
        <w:t>数据来源：全国高职院校状态数据采集与管理系统</w:t>
      </w:r>
    </w:p>
    <w:p>
      <w:pPr>
        <w:pStyle w:val="BodyText"/>
        <w:rPr>
          <w:b/>
          <w:sz w:val="20"/>
        </w:rPr>
      </w:pPr>
    </w:p>
    <w:p>
      <w:pPr>
        <w:pStyle w:val="BodyText"/>
        <w:spacing w:before="4"/>
        <w:rPr>
          <w:b/>
          <w:sz w:val="16"/>
        </w:rPr>
      </w:pPr>
      <w:r>
        <w:rPr/>
        <w:drawing>
          <wp:anchor distT="0" distB="0" distL="0" distR="0" allowOverlap="1" layoutInCell="1" locked="0" behindDoc="0" simplePos="0" relativeHeight="25">
            <wp:simplePos x="0" y="0"/>
            <wp:positionH relativeFrom="page">
              <wp:posOffset>1185672</wp:posOffset>
            </wp:positionH>
            <wp:positionV relativeFrom="paragraph">
              <wp:posOffset>157622</wp:posOffset>
            </wp:positionV>
            <wp:extent cx="5151784" cy="1952625"/>
            <wp:effectExtent l="0" t="0" r="0" b="0"/>
            <wp:wrapTopAndBottom/>
            <wp:docPr id="125" name="image54.png"/>
            <wp:cNvGraphicFramePr>
              <a:graphicFrameLocks noChangeAspect="1"/>
            </wp:cNvGraphicFramePr>
            <a:graphic>
              <a:graphicData uri="http://schemas.openxmlformats.org/drawingml/2006/picture">
                <pic:pic>
                  <pic:nvPicPr>
                    <pic:cNvPr id="126" name="image54.png"/>
                    <pic:cNvPicPr/>
                  </pic:nvPicPr>
                  <pic:blipFill>
                    <a:blip r:embed="rId67" cstate="print"/>
                    <a:stretch>
                      <a:fillRect/>
                    </a:stretch>
                  </pic:blipFill>
                  <pic:spPr>
                    <a:xfrm>
                      <a:off x="0" y="0"/>
                      <a:ext cx="5151784" cy="1952625"/>
                    </a:xfrm>
                    <a:prstGeom prst="rect">
                      <a:avLst/>
                    </a:prstGeom>
                  </pic:spPr>
                </pic:pic>
              </a:graphicData>
            </a:graphic>
          </wp:anchor>
        </w:drawing>
      </w:r>
    </w:p>
    <w:p>
      <w:pPr>
        <w:tabs>
          <w:tab w:pos="789" w:val="left" w:leader="none"/>
        </w:tabs>
        <w:spacing w:before="100"/>
        <w:ind w:left="0" w:right="23" w:firstLine="0"/>
        <w:jc w:val="center"/>
        <w:rPr>
          <w:b/>
          <w:sz w:val="21"/>
        </w:rPr>
      </w:pPr>
      <w:r>
        <w:rPr>
          <w:b/>
          <w:sz w:val="21"/>
        </w:rPr>
        <w:t>图</w:t>
      </w:r>
      <w:r>
        <w:rPr>
          <w:b/>
          <w:spacing w:val="-55"/>
          <w:sz w:val="21"/>
        </w:rPr>
        <w:t> </w:t>
      </w:r>
      <w:r>
        <w:rPr>
          <w:b/>
          <w:sz w:val="21"/>
        </w:rPr>
        <w:t>3-8</w:t>
        <w:tab/>
        <w:t>具有博士学位专任教师比例示意图</w:t>
      </w:r>
    </w:p>
    <w:p>
      <w:pPr>
        <w:spacing w:before="122"/>
        <w:ind w:left="4390" w:right="1" w:firstLine="0"/>
        <w:jc w:val="center"/>
        <w:rPr>
          <w:b/>
          <w:sz w:val="21"/>
        </w:rPr>
      </w:pPr>
      <w:r>
        <w:rPr>
          <w:b/>
          <w:sz w:val="21"/>
        </w:rPr>
        <w:t>数据来源：全国高职院校状态数据采集与管理系统</w:t>
      </w:r>
    </w:p>
    <w:p>
      <w:pPr>
        <w:spacing w:after="0"/>
        <w:jc w:val="center"/>
        <w:rPr>
          <w:sz w:val="21"/>
        </w:rPr>
        <w:sectPr>
          <w:pgSz w:w="11910" w:h="16840"/>
          <w:pgMar w:header="780" w:footer="1241" w:top="1260" w:bottom="1440" w:left="0" w:right="0"/>
        </w:sectPr>
      </w:pPr>
    </w:p>
    <w:p>
      <w:pPr>
        <w:pStyle w:val="BodyText"/>
        <w:spacing w:before="11" w:after="1"/>
        <w:rPr>
          <w:b/>
          <w:sz w:val="10"/>
        </w:rPr>
      </w:pPr>
    </w:p>
    <w:p>
      <w:pPr>
        <w:pStyle w:val="BodyText"/>
        <w:ind w:left="1903"/>
        <w:rPr>
          <w:sz w:val="20"/>
        </w:rPr>
      </w:pPr>
      <w:r>
        <w:rPr>
          <w:sz w:val="20"/>
        </w:rPr>
        <w:drawing>
          <wp:inline distT="0" distB="0" distL="0" distR="0">
            <wp:extent cx="5142081" cy="2752725"/>
            <wp:effectExtent l="0" t="0" r="0" b="0"/>
            <wp:docPr id="127" name="image55.png"/>
            <wp:cNvGraphicFramePr>
              <a:graphicFrameLocks noChangeAspect="1"/>
            </wp:cNvGraphicFramePr>
            <a:graphic>
              <a:graphicData uri="http://schemas.openxmlformats.org/drawingml/2006/picture">
                <pic:pic>
                  <pic:nvPicPr>
                    <pic:cNvPr id="128" name="image55.png"/>
                    <pic:cNvPicPr/>
                  </pic:nvPicPr>
                  <pic:blipFill>
                    <a:blip r:embed="rId68" cstate="print"/>
                    <a:stretch>
                      <a:fillRect/>
                    </a:stretch>
                  </pic:blipFill>
                  <pic:spPr>
                    <a:xfrm>
                      <a:off x="0" y="0"/>
                      <a:ext cx="5142081" cy="2752725"/>
                    </a:xfrm>
                    <a:prstGeom prst="rect">
                      <a:avLst/>
                    </a:prstGeom>
                  </pic:spPr>
                </pic:pic>
              </a:graphicData>
            </a:graphic>
          </wp:inline>
        </w:drawing>
      </w:r>
      <w:r>
        <w:rPr>
          <w:sz w:val="20"/>
        </w:rPr>
      </w:r>
    </w:p>
    <w:p>
      <w:pPr>
        <w:pStyle w:val="BodyText"/>
        <w:spacing w:before="8"/>
        <w:rPr>
          <w:b/>
          <w:sz w:val="6"/>
        </w:rPr>
      </w:pPr>
    </w:p>
    <w:p>
      <w:pPr>
        <w:tabs>
          <w:tab w:pos="789" w:val="left" w:leader="none"/>
        </w:tabs>
        <w:spacing w:before="70"/>
        <w:ind w:left="0" w:right="23" w:firstLine="0"/>
        <w:jc w:val="center"/>
        <w:rPr>
          <w:b/>
          <w:sz w:val="21"/>
        </w:rPr>
      </w:pPr>
      <w:r>
        <w:rPr>
          <w:b/>
          <w:sz w:val="21"/>
        </w:rPr>
        <w:t>图</w:t>
      </w:r>
      <w:r>
        <w:rPr>
          <w:b/>
          <w:spacing w:val="-55"/>
          <w:sz w:val="21"/>
        </w:rPr>
        <w:t> </w:t>
      </w:r>
      <w:r>
        <w:rPr>
          <w:b/>
          <w:sz w:val="21"/>
        </w:rPr>
        <w:t>3-9</w:t>
        <w:tab/>
        <w:t>获技术专利专任教师占比情况示意图</w:t>
      </w:r>
    </w:p>
    <w:p>
      <w:pPr>
        <w:spacing w:before="43"/>
        <w:ind w:left="4390" w:right="1" w:firstLine="0"/>
        <w:jc w:val="center"/>
        <w:rPr>
          <w:b/>
          <w:sz w:val="21"/>
        </w:rPr>
      </w:pPr>
      <w:r>
        <w:rPr>
          <w:b/>
          <w:sz w:val="21"/>
        </w:rPr>
        <w:t>数据来源：全国高职院校状态数据采集与管理系统</w:t>
      </w:r>
    </w:p>
    <w:p>
      <w:pPr>
        <w:pStyle w:val="BodyText"/>
        <w:rPr>
          <w:b/>
          <w:sz w:val="20"/>
        </w:rPr>
      </w:pPr>
    </w:p>
    <w:p>
      <w:pPr>
        <w:pStyle w:val="Heading2"/>
        <w:numPr>
          <w:ilvl w:val="2"/>
          <w:numId w:val="3"/>
        </w:numPr>
        <w:tabs>
          <w:tab w:pos="2743" w:val="left" w:leader="none"/>
          <w:tab w:pos="2744" w:val="left" w:leader="none"/>
        </w:tabs>
        <w:spacing w:line="240" w:lineRule="auto" w:before="157" w:after="0"/>
        <w:ind w:left="2743" w:right="0" w:hanging="846"/>
        <w:jc w:val="left"/>
      </w:pPr>
      <w:bookmarkStart w:name="3.6.2  领军人才队伍建设" w:id="175"/>
      <w:bookmarkEnd w:id="175"/>
      <w:r>
        <w:rPr>
          <w:b w:val="0"/>
        </w:rPr>
      </w:r>
      <w:bookmarkStart w:name="_bookmark64" w:id="176"/>
      <w:bookmarkEnd w:id="176"/>
      <w:r>
        <w:rPr>
          <w:b w:val="0"/>
        </w:rPr>
      </w:r>
      <w:bookmarkStart w:name="_bookmark64" w:id="177"/>
      <w:bookmarkEnd w:id="177"/>
      <w:r>
        <w:rPr/>
        <w:t>领军人才队伍建设</w:t>
      </w:r>
    </w:p>
    <w:p>
      <w:pPr>
        <w:pStyle w:val="BodyText"/>
        <w:spacing w:before="7"/>
        <w:rPr>
          <w:rFonts w:ascii="黑体"/>
          <w:b/>
          <w:sz w:val="18"/>
        </w:rPr>
      </w:pPr>
    </w:p>
    <w:p>
      <w:pPr>
        <w:pStyle w:val="BodyText"/>
        <w:spacing w:line="364" w:lineRule="auto"/>
        <w:ind w:left="1418" w:right="1297" w:firstLine="480"/>
      </w:pPr>
      <w:r>
        <w:rPr>
          <w:spacing w:val="-5"/>
        </w:rPr>
        <w:t>学院通过专家带培、项目驱动、团队助力培养专业(群)带头人。为每位专业(群)带</w:t>
      </w:r>
      <w:r>
        <w:rPr>
          <w:spacing w:val="-9"/>
        </w:rPr>
        <w:t>头人聘请指导专家，安排专业(群)带头人到带培专家所在实验室、研究基地、所在企业</w:t>
      </w:r>
      <w:r>
        <w:rPr>
          <w:spacing w:val="-11"/>
        </w:rPr>
        <w:t>参与重大课题研究。派遣专业(群)带头人参加重要的国际学术交流活动，到国内外一流</w:t>
      </w:r>
      <w:r>
        <w:rPr>
          <w:spacing w:val="-17"/>
        </w:rPr>
        <w:t>大学、研究机构或知名企业进行培训研修。每位带头人必须承担学院实训设施建设项目、</w:t>
      </w:r>
      <w:r>
        <w:rPr>
          <w:spacing w:val="-5"/>
        </w:rPr>
        <w:t>教研教改项目、学生技能竞赛指导项目、应用技术研究项目，大力支持专业(群)带头人</w:t>
      </w:r>
      <w:r>
        <w:rPr>
          <w:spacing w:val="-9"/>
        </w:rPr>
        <w:t>争取承担国家、省部级科技计划重大专项、教研教改项目，在企业建立专业(群)带头人工作站，主持或参与企业技改项目或重大工程建设项目。经过两年多的培养，学院以专业群带头人为主要代表的领军人才队伍建设取得了明显成效。</w:t>
      </w:r>
    </w:p>
    <w:p>
      <w:pPr>
        <w:pStyle w:val="Heading2"/>
        <w:numPr>
          <w:ilvl w:val="2"/>
          <w:numId w:val="3"/>
        </w:numPr>
        <w:tabs>
          <w:tab w:pos="2743" w:val="left" w:leader="none"/>
          <w:tab w:pos="2744" w:val="left" w:leader="none"/>
        </w:tabs>
        <w:spacing w:line="240" w:lineRule="auto" w:before="75" w:after="0"/>
        <w:ind w:left="2743" w:right="0" w:hanging="846"/>
        <w:jc w:val="left"/>
      </w:pPr>
      <w:bookmarkStart w:name="3.6.3  教师培养培训" w:id="178"/>
      <w:bookmarkEnd w:id="178"/>
      <w:r>
        <w:rPr>
          <w:b w:val="0"/>
        </w:rPr>
      </w:r>
      <w:bookmarkStart w:name="_bookmark65" w:id="179"/>
      <w:bookmarkEnd w:id="179"/>
      <w:r>
        <w:rPr>
          <w:b w:val="0"/>
        </w:rPr>
      </w:r>
      <w:bookmarkStart w:name="_bookmark65" w:id="180"/>
      <w:bookmarkEnd w:id="180"/>
      <w:r>
        <w:rPr/>
        <w:t>教师培养培训</w:t>
      </w:r>
    </w:p>
    <w:p>
      <w:pPr>
        <w:pStyle w:val="BodyText"/>
        <w:spacing w:before="6"/>
        <w:rPr>
          <w:rFonts w:ascii="黑体"/>
          <w:b/>
          <w:sz w:val="18"/>
        </w:rPr>
      </w:pPr>
    </w:p>
    <w:p>
      <w:pPr>
        <w:pStyle w:val="BodyText"/>
        <w:spacing w:line="364" w:lineRule="auto"/>
        <w:ind w:left="1418" w:right="1297" w:firstLine="480"/>
        <w:jc w:val="both"/>
      </w:pPr>
      <w:r>
        <w:rPr>
          <w:spacing w:val="-6"/>
        </w:rPr>
        <w:t>学院围绕教改主题制定了年度“培、研、赛”计划，开展了“培、研、赛”系列常</w:t>
      </w:r>
      <w:r>
        <w:rPr>
          <w:spacing w:val="-9"/>
        </w:rPr>
        <w:t>态化活动，遴选骨干教师，明确主攻课程和研究方向，选送优秀骨干教师到国内知名高</w:t>
      </w:r>
      <w:r>
        <w:rPr>
          <w:spacing w:val="-8"/>
        </w:rPr>
        <w:t>校、企业或境外研修。通过举办教学设计、教学方法与应用等方面的培训班、邀请校内</w:t>
      </w:r>
      <w:r>
        <w:rPr>
          <w:spacing w:val="-12"/>
        </w:rPr>
        <w:t>外专家开设系列讲座、立项教育教学改革研究项目，开展说专业(群)、说教研室、说课</w:t>
      </w:r>
      <w:r>
        <w:rPr>
          <w:spacing w:val="-16"/>
        </w:rPr>
        <w:t>程、教学设计、课堂教学、实践教学等系列教学竞赛活动，着力提升师资队伍整体水平。</w:t>
      </w:r>
    </w:p>
    <w:p>
      <w:pPr>
        <w:pStyle w:val="Heading2"/>
        <w:numPr>
          <w:ilvl w:val="2"/>
          <w:numId w:val="3"/>
        </w:numPr>
        <w:tabs>
          <w:tab w:pos="2743" w:val="left" w:leader="none"/>
          <w:tab w:pos="2744" w:val="left" w:leader="none"/>
        </w:tabs>
        <w:spacing w:line="240" w:lineRule="auto" w:before="75" w:after="0"/>
        <w:ind w:left="2743" w:right="0" w:hanging="846"/>
        <w:jc w:val="left"/>
      </w:pPr>
      <w:bookmarkStart w:name="3.6.4  兼职教师队伍建设成效显著" w:id="181"/>
      <w:bookmarkEnd w:id="181"/>
      <w:r>
        <w:rPr>
          <w:b w:val="0"/>
        </w:rPr>
      </w:r>
      <w:bookmarkStart w:name="_bookmark66" w:id="182"/>
      <w:bookmarkEnd w:id="182"/>
      <w:r>
        <w:rPr>
          <w:b w:val="0"/>
        </w:rPr>
      </w:r>
      <w:bookmarkStart w:name="_bookmark66" w:id="183"/>
      <w:bookmarkEnd w:id="183"/>
      <w:r>
        <w:rPr/>
        <w:t>兼职教师队伍建设成效显著</w:t>
      </w:r>
    </w:p>
    <w:p>
      <w:pPr>
        <w:pStyle w:val="BodyText"/>
        <w:spacing w:before="7"/>
        <w:rPr>
          <w:rFonts w:ascii="黑体"/>
          <w:b/>
          <w:sz w:val="18"/>
        </w:rPr>
      </w:pPr>
    </w:p>
    <w:p>
      <w:pPr>
        <w:pStyle w:val="BodyText"/>
        <w:ind w:left="1898"/>
      </w:pPr>
      <w:r>
        <w:rPr/>
        <w:t>2016 年，学院通过提高企业兼职教师课酬，吸引了巴陵石化、湖南海利、株洲时代</w:t>
      </w:r>
    </w:p>
    <w:p>
      <w:pPr>
        <w:spacing w:after="0"/>
        <w:sectPr>
          <w:pgSz w:w="11910" w:h="16840"/>
          <w:pgMar w:header="780" w:footer="1241" w:top="1260" w:bottom="1440" w:left="0" w:right="0"/>
        </w:sectPr>
      </w:pPr>
    </w:p>
    <w:p>
      <w:pPr>
        <w:pStyle w:val="BodyText"/>
        <w:spacing w:line="362" w:lineRule="auto" w:before="141"/>
        <w:ind w:left="1418" w:right="1417"/>
      </w:pPr>
      <w:r>
        <w:rPr>
          <w:spacing w:val="-9"/>
        </w:rPr>
        <w:t>新材、索菲亚、湖南湘大比徳等知名企业能工巧匠参与教学，充实了兼职教师队伍，建</w:t>
      </w:r>
      <w:r>
        <w:rPr/>
        <w:t>成了一支常备、稳定的外聘教师队伍。</w:t>
      </w:r>
    </w:p>
    <w:p>
      <w:pPr>
        <w:pStyle w:val="BodyText"/>
        <w:spacing w:before="5"/>
        <w:ind w:left="1898"/>
        <w:jc w:val="both"/>
      </w:pPr>
      <w:r>
        <w:rPr/>
        <w:t>近两年，学院在 2016 年兼职教师队伍建设的良好基础上，加大了对兼职教师准入、</w:t>
      </w:r>
    </w:p>
    <w:p>
      <w:pPr>
        <w:pStyle w:val="BodyText"/>
        <w:spacing w:line="364" w:lineRule="auto" w:before="160"/>
        <w:ind w:left="1418" w:right="1413"/>
        <w:jc w:val="both"/>
      </w:pPr>
      <w:r>
        <w:rPr>
          <w:spacing w:val="-9"/>
        </w:rPr>
        <w:t>考核、淘汰机制建设。一是在兼职教师的选用上，将标准提高到必须具有 </w:t>
      </w:r>
      <w:r>
        <w:rPr/>
        <w:t>5</w:t>
      </w:r>
      <w:r>
        <w:rPr>
          <w:spacing w:val="-13"/>
        </w:rPr>
        <w:t> 年以上企业</w:t>
      </w:r>
      <w:r>
        <w:rPr>
          <w:spacing w:val="-4"/>
        </w:rPr>
        <w:t>一线工作经验或具有高级技术职务的企业人员；二是以专业群为单位，根据在校生规模</w:t>
      </w:r>
      <w:r>
        <w:rPr>
          <w:spacing w:val="-7"/>
        </w:rPr>
        <w:t>合理规划、动态调整兼职教师数量，确保各专业群兼职教师数量均衡；三是加强对兼职</w:t>
      </w:r>
      <w:r>
        <w:rPr>
          <w:spacing w:val="-2"/>
        </w:rPr>
        <w:t>教师师德规范和教学能力提升培训，实施</w:t>
      </w:r>
      <w:r>
        <w:rPr>
          <w:spacing w:val="-3"/>
        </w:rPr>
        <w:t>“1＋1</w:t>
      </w:r>
      <w:r>
        <w:rPr>
          <w:spacing w:val="-11"/>
        </w:rPr>
        <w:t>”帮带计划，即 </w:t>
      </w:r>
      <w:r>
        <w:rPr/>
        <w:t>1</w:t>
      </w:r>
      <w:r>
        <w:rPr>
          <w:spacing w:val="-9"/>
        </w:rPr>
        <w:t> 名校内骨干教师联系</w:t>
      </w:r>
    </w:p>
    <w:p>
      <w:pPr>
        <w:pStyle w:val="BodyText"/>
        <w:spacing w:line="364" w:lineRule="auto"/>
        <w:ind w:left="1418" w:right="1417"/>
        <w:jc w:val="both"/>
      </w:pPr>
      <w:r>
        <w:rPr/>
        <w:t>1</w:t>
      </w:r>
      <w:r>
        <w:rPr>
          <w:spacing w:val="-9"/>
        </w:rPr>
        <w:t> 名企业兼职教师，实现双方在教学、现场实践能力方面的互带互助互促，结对成长发展；四是从师德、教学过程、学生评价、教学效果等方面进行量化考核，推进兼职教师</w:t>
      </w:r>
      <w:r>
        <w:rPr/>
        <w:t>队伍整体素质。</w:t>
      </w:r>
    </w:p>
    <w:p>
      <w:pPr>
        <w:spacing w:after="0" w:line="364" w:lineRule="auto"/>
        <w:jc w:val="both"/>
        <w:sectPr>
          <w:pgSz w:w="11910" w:h="16840"/>
          <w:pgMar w:header="780" w:footer="1241" w:top="1260" w:bottom="1440" w:left="0" w:right="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numPr>
          <w:ilvl w:val="0"/>
          <w:numId w:val="5"/>
        </w:numPr>
        <w:tabs>
          <w:tab w:pos="2397" w:val="left" w:leader="none"/>
          <w:tab w:pos="2398" w:val="left" w:leader="none"/>
        </w:tabs>
        <w:spacing w:line="240" w:lineRule="auto" w:before="71" w:after="0"/>
        <w:ind w:left="2397" w:right="0" w:hanging="421"/>
        <w:jc w:val="left"/>
      </w:pPr>
      <w:bookmarkStart w:name="4  产教融合" w:id="184"/>
      <w:bookmarkEnd w:id="184"/>
      <w:r>
        <w:rPr>
          <w:b w:val="0"/>
        </w:rPr>
      </w:r>
      <w:bookmarkStart w:name="_bookmark67" w:id="185"/>
      <w:bookmarkEnd w:id="185"/>
      <w:r>
        <w:rPr>
          <w:b w:val="0"/>
        </w:rPr>
      </w:r>
      <w:bookmarkStart w:name="_bookmark67" w:id="186"/>
      <w:bookmarkEnd w:id="186"/>
      <w:r>
        <w:rPr/>
        <w:t>产教融合</w:t>
      </w:r>
    </w:p>
    <w:p>
      <w:pPr>
        <w:pStyle w:val="BodyText"/>
        <w:spacing w:before="11"/>
        <w:rPr>
          <w:rFonts w:ascii="黑体"/>
          <w:b/>
          <w:sz w:val="34"/>
        </w:rPr>
      </w:pPr>
    </w:p>
    <w:p>
      <w:pPr>
        <w:pStyle w:val="Heading2"/>
        <w:numPr>
          <w:ilvl w:val="1"/>
          <w:numId w:val="5"/>
        </w:numPr>
        <w:tabs>
          <w:tab w:pos="2471" w:val="left" w:leader="none"/>
          <w:tab w:pos="2472" w:val="left" w:leader="none"/>
        </w:tabs>
        <w:spacing w:line="240" w:lineRule="auto" w:before="0" w:after="0"/>
        <w:ind w:left="2472" w:right="0" w:hanging="574"/>
        <w:jc w:val="left"/>
      </w:pPr>
      <w:bookmarkStart w:name="4.1  产教供需对接" w:id="187"/>
      <w:bookmarkEnd w:id="187"/>
      <w:r>
        <w:rPr>
          <w:b w:val="0"/>
        </w:rPr>
      </w:r>
      <w:bookmarkStart w:name="_bookmark68" w:id="188"/>
      <w:bookmarkEnd w:id="188"/>
      <w:r>
        <w:rPr>
          <w:b w:val="0"/>
        </w:rPr>
      </w:r>
      <w:bookmarkStart w:name="_bookmark68" w:id="189"/>
      <w:bookmarkEnd w:id="189"/>
      <w:r>
        <w:rPr/>
        <w:t>产教供需对接</w:t>
      </w:r>
    </w:p>
    <w:p>
      <w:pPr>
        <w:pStyle w:val="BodyText"/>
        <w:spacing w:before="6"/>
        <w:rPr>
          <w:rFonts w:ascii="黑体"/>
          <w:b/>
        </w:rPr>
      </w:pPr>
    </w:p>
    <w:p>
      <w:pPr>
        <w:pStyle w:val="BodyText"/>
        <w:spacing w:line="364" w:lineRule="auto"/>
        <w:ind w:left="1418" w:right="1365" w:firstLine="480"/>
        <w:jc w:val="both"/>
      </w:pPr>
      <w:r>
        <w:rPr>
          <w:spacing w:val="-1"/>
        </w:rPr>
        <w:t>学院作为湖南化工职业教育集团的牵头学院，几年来，学院依托职教集团，校企、</w:t>
      </w:r>
      <w:r>
        <w:rPr>
          <w:spacing w:val="-6"/>
        </w:rPr>
        <w:t>校际间合作共赢、优势互补，已初步形成了集团内部的产业链、师资链、信息链、技术推广链和就业链，促进了集团各成员单位的共同进步和发展，并带来了切实的利益。</w:t>
      </w:r>
    </w:p>
    <w:p>
      <w:pPr>
        <w:pStyle w:val="BodyText"/>
        <w:spacing w:line="364" w:lineRule="auto"/>
        <w:ind w:left="1418" w:right="1293" w:firstLine="480"/>
      </w:pPr>
      <w:r>
        <w:rPr>
          <w:spacing w:val="-13"/>
        </w:rPr>
        <w:t>近年来，学院主动对接产业发展，积极推进校企合作，取得了很好的成绩。形式上， </w:t>
      </w:r>
      <w:r>
        <w:rPr>
          <w:spacing w:val="-4"/>
        </w:rPr>
        <w:t>校企合作已从松散型走向集团化、联盟制，成立了湖南化工职业教育集团，并在职教集</w:t>
      </w:r>
      <w:r>
        <w:rPr>
          <w:spacing w:val="-6"/>
        </w:rPr>
        <w:t>团框架下组建成立了以行业划分的校友分会——涂料联盟、华南化妆品行业校友分会等</w:t>
      </w:r>
      <w:r>
        <w:rPr>
          <w:spacing w:val="-11"/>
        </w:rPr>
        <w:t>产学研合作平台。内容上，校企合作涵盖了人才培养合作、员工培训合作、技术开发合作等多个方面。</w:t>
      </w:r>
    </w:p>
    <w:p>
      <w:pPr>
        <w:pStyle w:val="BodyText"/>
        <w:spacing w:line="364" w:lineRule="auto"/>
        <w:ind w:left="1418" w:right="1417" w:firstLine="480"/>
        <w:jc w:val="both"/>
      </w:pPr>
      <w:r>
        <w:rPr>
          <w:spacing w:val="-6"/>
        </w:rPr>
        <w:t>为进一步深化校企合作、产教融合，化妆品技术专业与广州梦采集团签订合作框架</w:t>
      </w:r>
      <w:r>
        <w:rPr>
          <w:spacing w:val="-8"/>
        </w:rPr>
        <w:t>协议，共建了梦采化妆品学院，整合商科类专业，与步步高集团合作，共建了步步高商</w:t>
      </w:r>
      <w:r>
        <w:rPr>
          <w:spacing w:val="-2"/>
        </w:rPr>
        <w:t>学院；整合了物联网技术专业群内专业组成，与华为技术有限公司共同建设了华为 </w:t>
      </w:r>
      <w:r>
        <w:rPr/>
        <w:t>ICT </w:t>
      </w:r>
      <w:r>
        <w:rPr>
          <w:spacing w:val="-7"/>
        </w:rPr>
        <w:t>学院。形成校企共同育人载体，探索混合制二级学院育人新模式，人才培养与需求无缝</w:t>
      </w:r>
      <w:r>
        <w:rPr/>
        <w:t>对接，实现了校企双赢。</w:t>
      </w:r>
    </w:p>
    <w:p>
      <w:pPr>
        <w:pStyle w:val="BodyText"/>
        <w:ind w:left="1872"/>
        <w:rPr>
          <w:sz w:val="20"/>
        </w:rPr>
      </w:pPr>
      <w:r>
        <w:rPr>
          <w:sz w:val="20"/>
        </w:rPr>
        <w:drawing>
          <wp:inline distT="0" distB="0" distL="0" distR="0">
            <wp:extent cx="5172075" cy="2809875"/>
            <wp:effectExtent l="0" t="0" r="0" b="0"/>
            <wp:docPr id="129" name="image56.png"/>
            <wp:cNvGraphicFramePr>
              <a:graphicFrameLocks noChangeAspect="1"/>
            </wp:cNvGraphicFramePr>
            <a:graphic>
              <a:graphicData uri="http://schemas.openxmlformats.org/drawingml/2006/picture">
                <pic:pic>
                  <pic:nvPicPr>
                    <pic:cNvPr id="130" name="image56.png"/>
                    <pic:cNvPicPr/>
                  </pic:nvPicPr>
                  <pic:blipFill>
                    <a:blip r:embed="rId69" cstate="print"/>
                    <a:stretch>
                      <a:fillRect/>
                    </a:stretch>
                  </pic:blipFill>
                  <pic:spPr>
                    <a:xfrm>
                      <a:off x="0" y="0"/>
                      <a:ext cx="5172075" cy="2809875"/>
                    </a:xfrm>
                    <a:prstGeom prst="rect">
                      <a:avLst/>
                    </a:prstGeom>
                  </pic:spPr>
                </pic:pic>
              </a:graphicData>
            </a:graphic>
          </wp:inline>
        </w:drawing>
      </w:r>
      <w:r>
        <w:rPr>
          <w:sz w:val="20"/>
        </w:rPr>
      </w:r>
    </w:p>
    <w:p>
      <w:pPr>
        <w:tabs>
          <w:tab w:pos="791" w:val="left" w:leader="none"/>
        </w:tabs>
        <w:spacing w:before="166"/>
        <w:ind w:left="0" w:right="12" w:firstLine="0"/>
        <w:jc w:val="center"/>
        <w:rPr>
          <w:b/>
          <w:sz w:val="21"/>
        </w:rPr>
      </w:pPr>
      <w:r>
        <w:rPr>
          <w:b/>
          <w:sz w:val="21"/>
        </w:rPr>
        <w:t>图</w:t>
      </w:r>
      <w:r>
        <w:rPr>
          <w:b/>
          <w:spacing w:val="-53"/>
          <w:sz w:val="21"/>
        </w:rPr>
        <w:t> </w:t>
      </w:r>
      <w:r>
        <w:rPr>
          <w:b/>
          <w:sz w:val="21"/>
        </w:rPr>
        <w:t>4-1</w:t>
        <w:tab/>
        <w:t>学院及全国高职院校校企合作共同开发课程占开设课程总门数比例</w:t>
      </w:r>
    </w:p>
    <w:p>
      <w:pPr>
        <w:spacing w:before="43"/>
        <w:ind w:left="4390" w:right="1" w:firstLine="0"/>
        <w:jc w:val="center"/>
        <w:rPr>
          <w:b/>
          <w:sz w:val="21"/>
        </w:rPr>
      </w:pPr>
      <w:r>
        <w:rPr>
          <w:b/>
          <w:sz w:val="21"/>
        </w:rPr>
        <w:t>数据来源：全国高职院校状态数据采集与管理系统</w:t>
      </w:r>
    </w:p>
    <w:p>
      <w:pPr>
        <w:spacing w:after="0"/>
        <w:jc w:val="center"/>
        <w:rPr>
          <w:sz w:val="21"/>
        </w:rPr>
        <w:sectPr>
          <w:pgSz w:w="11910" w:h="16840"/>
          <w:pgMar w:header="780" w:footer="1241" w:top="1260" w:bottom="1440" w:left="0" w:right="0"/>
        </w:sectPr>
      </w:pPr>
    </w:p>
    <w:p>
      <w:pPr>
        <w:pStyle w:val="Heading2"/>
        <w:numPr>
          <w:ilvl w:val="1"/>
          <w:numId w:val="5"/>
        </w:numPr>
        <w:tabs>
          <w:tab w:pos="2471" w:val="left" w:leader="none"/>
          <w:tab w:pos="2472" w:val="left" w:leader="none"/>
        </w:tabs>
        <w:spacing w:line="240" w:lineRule="auto" w:before="141" w:after="0"/>
        <w:ind w:left="2472" w:right="0" w:hanging="574"/>
        <w:jc w:val="left"/>
      </w:pPr>
      <w:bookmarkStart w:name="4.2  校企协同育人" w:id="190"/>
      <w:bookmarkEnd w:id="190"/>
      <w:r>
        <w:rPr>
          <w:b w:val="0"/>
        </w:rPr>
      </w:r>
      <w:bookmarkStart w:name="_bookmark69" w:id="191"/>
      <w:bookmarkEnd w:id="191"/>
      <w:r>
        <w:rPr>
          <w:b w:val="0"/>
        </w:rPr>
      </w:r>
      <w:bookmarkStart w:name="_bookmark69" w:id="192"/>
      <w:bookmarkEnd w:id="192"/>
      <w:r>
        <w:rPr/>
        <w:t>校企协同育人</w:t>
      </w:r>
    </w:p>
    <w:p>
      <w:pPr>
        <w:pStyle w:val="BodyText"/>
        <w:spacing w:before="6"/>
        <w:rPr>
          <w:rFonts w:ascii="黑体"/>
          <w:b/>
        </w:rPr>
      </w:pPr>
    </w:p>
    <w:p>
      <w:pPr>
        <w:pStyle w:val="Heading2"/>
        <w:numPr>
          <w:ilvl w:val="2"/>
          <w:numId w:val="5"/>
        </w:numPr>
        <w:tabs>
          <w:tab w:pos="2743" w:val="left" w:leader="none"/>
          <w:tab w:pos="2744" w:val="left" w:leader="none"/>
        </w:tabs>
        <w:spacing w:line="240" w:lineRule="auto" w:before="0" w:after="0"/>
        <w:ind w:left="2743" w:right="0" w:hanging="846"/>
        <w:jc w:val="left"/>
      </w:pPr>
      <w:bookmarkStart w:name="4.2.1  现代学徒制人才培养" w:id="193"/>
      <w:bookmarkEnd w:id="193"/>
      <w:r>
        <w:rPr>
          <w:b w:val="0"/>
        </w:rPr>
      </w:r>
      <w:bookmarkStart w:name="_bookmark70" w:id="194"/>
      <w:bookmarkEnd w:id="194"/>
      <w:r>
        <w:rPr>
          <w:b w:val="0"/>
        </w:rPr>
      </w:r>
      <w:bookmarkStart w:name="_bookmark70" w:id="195"/>
      <w:bookmarkEnd w:id="195"/>
      <w:r>
        <w:rPr/>
        <w:t>现代学徒制人才培养</w:t>
      </w:r>
    </w:p>
    <w:p>
      <w:pPr>
        <w:pStyle w:val="BodyText"/>
        <w:spacing w:before="7"/>
        <w:rPr>
          <w:rFonts w:ascii="黑体"/>
          <w:b/>
          <w:sz w:val="18"/>
        </w:rPr>
      </w:pPr>
    </w:p>
    <w:p>
      <w:pPr>
        <w:pStyle w:val="BodyText"/>
        <w:ind w:left="1898"/>
        <w:jc w:val="both"/>
      </w:pPr>
      <w:r>
        <w:rPr/>
        <w:t>学院自 2015 年起进行现代学徒制试点探索，先后与(宁波万华、湖南楚天科技、湖</w:t>
      </w:r>
    </w:p>
    <w:p>
      <w:pPr>
        <w:pStyle w:val="BodyText"/>
        <w:spacing w:line="364" w:lineRule="auto" w:before="160"/>
        <w:ind w:left="1418" w:right="1365"/>
        <w:jc w:val="both"/>
      </w:pPr>
      <w:r>
        <w:rPr>
          <w:spacing w:val="-6"/>
        </w:rPr>
        <w:t>南紫荆花涂料等 </w:t>
      </w:r>
      <w:r>
        <w:rPr/>
        <w:t>20</w:t>
      </w:r>
      <w:r>
        <w:rPr>
          <w:spacing w:val="-7"/>
        </w:rPr>
        <w:t> 余家企业深度合作、先行先试，创新构建全方位、多层次、多元化</w:t>
      </w:r>
      <w:r>
        <w:rPr>
          <w:spacing w:val="-8"/>
        </w:rPr>
        <w:t>的“校企联盟、校企联培、校企联动”交互型协同育人机制，确立适合校企协作办学的</w:t>
      </w:r>
      <w:r>
        <w:rPr>
          <w:spacing w:val="-11"/>
        </w:rPr>
        <w:t>长效机制与开放式运行服务保障体系，完善校企课程实时对接与灵活互动的专业动态调</w:t>
      </w:r>
      <w:r>
        <w:rPr>
          <w:spacing w:val="-10"/>
        </w:rPr>
        <w:t>整机制；设立灵活多变的校企联合招生招工弹性机制，促进学徒双身份的内化认同；课</w:t>
      </w:r>
      <w:r>
        <w:rPr>
          <w:spacing w:val="-7"/>
        </w:rPr>
        <w:t>岗合一，量身打造“三层次 六模块”的专业课程体系框架与协力共建共享型教学资源</w:t>
      </w:r>
      <w:r>
        <w:rPr>
          <w:spacing w:val="-5"/>
        </w:rPr>
        <w:t>库，系统化重构涂料专业“六对接 三递进”校企共育人才培养模式；大力培育适合现</w:t>
      </w:r>
      <w:r>
        <w:rPr>
          <w:spacing w:val="-7"/>
        </w:rPr>
        <w:t>代学徒制发展的具有国际视野和大国工匠精神的双师型素质教师队伍；完善现代学徒培</w:t>
      </w:r>
      <w:r>
        <w:rPr>
          <w:spacing w:val="-8"/>
        </w:rPr>
        <w:t>养的教学管理运行机制、多元化评价考核机制与权益保障机制，构建全方位、全过程、</w:t>
      </w:r>
      <w:r>
        <w:rPr/>
        <w:t>全覆盖的“现代学徒制+分段式组合”订单式人才培养管理体系；打造校企双向认同的</w:t>
      </w:r>
      <w:r>
        <w:rPr>
          <w:spacing w:val="-7"/>
        </w:rPr>
        <w:t>校内外实训基地，使我校现代学徒制涂料专业试点项目能在全国职业教育改革中发挥引</w:t>
      </w:r>
      <w:r>
        <w:rPr>
          <w:spacing w:val="-10"/>
        </w:rPr>
        <w:t>领示范作用，为继续推进我国涂料行业的蓬勃发展提供具有创新型复合式高素质的高技能技术人才支撑。</w:t>
      </w:r>
    </w:p>
    <w:p>
      <w:pPr>
        <w:pStyle w:val="BodyText"/>
        <w:spacing w:line="364" w:lineRule="auto"/>
        <w:ind w:left="1418" w:right="1417" w:firstLine="480"/>
        <w:jc w:val="both"/>
      </w:pPr>
      <w:r>
        <w:rPr>
          <w:spacing w:val="-8"/>
        </w:rPr>
        <w:t>目前，已有精细化工技术、应用化工技术专业，化学制药技术专业，化工装备技术</w:t>
      </w:r>
      <w:r>
        <w:rPr>
          <w:spacing w:val="-18"/>
        </w:rPr>
        <w:t>专业，物流管理专业，电气自动化技术专业等 </w:t>
      </w:r>
      <w:r>
        <w:rPr/>
        <w:t>6</w:t>
      </w:r>
      <w:r>
        <w:rPr>
          <w:spacing w:val="-14"/>
        </w:rPr>
        <w:t> 个专业为学校现代学徒制试点专业。</w:t>
      </w:r>
      <w:r>
        <w:rPr>
          <w:spacing w:val="-5"/>
        </w:rPr>
        <w:t>2018 </w:t>
      </w:r>
      <w:r>
        <w:rPr>
          <w:spacing w:val="-8"/>
        </w:rPr>
        <w:t>年，学院依托涂料研发与应用技术中心，与长沙紫荆花涂料、关西涂料、湖南邦弗特新</w:t>
      </w:r>
      <w:r>
        <w:rPr/>
        <w:t>材料等企业合作的精细化工技术专业</w:t>
      </w:r>
      <w:r>
        <w:rPr>
          <w:rFonts w:ascii="Times New Roman" w:eastAsia="Times New Roman"/>
        </w:rPr>
        <w:t>(</w:t>
      </w:r>
      <w:r>
        <w:rPr/>
        <w:t>涂料技术方向</w:t>
      </w:r>
      <w:r>
        <w:rPr>
          <w:rFonts w:ascii="Times New Roman" w:eastAsia="Times New Roman"/>
        </w:rPr>
        <w:t>)</w:t>
      </w:r>
      <w:r>
        <w:rPr/>
        <w:t>获批第三批现代学徒制试点专业。</w:t>
      </w:r>
    </w:p>
    <w:p>
      <w:pPr>
        <w:pStyle w:val="Heading2"/>
        <w:spacing w:before="70"/>
        <w:ind w:left="1898" w:firstLine="0"/>
        <w:jc w:val="both"/>
      </w:pPr>
      <w:bookmarkStart w:name="【典型案例17】学院全国现代学徒制试点单位" w:id="196"/>
      <w:bookmarkEnd w:id="196"/>
      <w:r>
        <w:rPr>
          <w:b w:val="0"/>
        </w:rPr>
      </w:r>
      <w:bookmarkStart w:name="_bookmark71" w:id="197"/>
      <w:bookmarkEnd w:id="197"/>
      <w:r>
        <w:rPr>
          <w:b w:val="0"/>
        </w:rPr>
      </w:r>
      <w:r>
        <w:rPr/>
        <w:t>【典型案例 17】学院全国现代学徒制试点单位</w:t>
      </w:r>
    </w:p>
    <w:p>
      <w:pPr>
        <w:pStyle w:val="BodyText"/>
        <w:spacing w:before="9"/>
        <w:rPr>
          <w:rFonts w:ascii="黑体"/>
          <w:b/>
        </w:rPr>
      </w:pPr>
    </w:p>
    <w:p>
      <w:pPr>
        <w:pStyle w:val="BodyText"/>
        <w:tabs>
          <w:tab w:pos="4747" w:val="left" w:leader="none"/>
        </w:tabs>
        <w:spacing w:line="364" w:lineRule="auto"/>
        <w:ind w:left="1418" w:right="1365" w:firstLine="480"/>
      </w:pPr>
      <w:r>
        <w:rPr>
          <w:color w:val="3366FF"/>
        </w:rPr>
        <w:t>为了探索校企合作</w:t>
      </w:r>
      <w:r>
        <w:rPr>
          <w:color w:val="3366FF"/>
          <w:spacing w:val="-70"/>
        </w:rPr>
        <w:t>、</w:t>
      </w:r>
      <w:r>
        <w:rPr>
          <w:color w:val="3366FF"/>
        </w:rPr>
        <w:t>协同育人</w:t>
      </w:r>
      <w:r>
        <w:rPr>
          <w:color w:val="3366FF"/>
          <w:spacing w:val="-70"/>
        </w:rPr>
        <w:t>、</w:t>
      </w:r>
      <w:r>
        <w:rPr>
          <w:color w:val="3366FF"/>
        </w:rPr>
        <w:t>共同发展的人才培养新模式</w:t>
      </w:r>
      <w:r>
        <w:rPr>
          <w:color w:val="3366FF"/>
          <w:spacing w:val="-70"/>
        </w:rPr>
        <w:t>，</w:t>
      </w:r>
      <w:r>
        <w:rPr>
          <w:color w:val="3366FF"/>
        </w:rPr>
        <w:t>增强精细化工技术(涂料方向)技术技能人才培养的针对性和有效性</w:t>
      </w:r>
      <w:r>
        <w:rPr>
          <w:color w:val="3366FF"/>
          <w:spacing w:val="-46"/>
        </w:rPr>
        <w:t>，</w:t>
      </w:r>
      <w:r>
        <w:rPr>
          <w:color w:val="3366FF"/>
        </w:rPr>
        <w:t>根据学校工作部署，</w:t>
      </w:r>
      <w:r>
        <w:rPr>
          <w:color w:val="3366FF"/>
          <w:spacing w:val="-44"/>
        </w:rPr>
        <w:t> </w:t>
      </w:r>
      <w:r>
        <w:rPr>
          <w:color w:val="3366FF"/>
        </w:rPr>
        <w:t>结合自身专业特点和已有校企合作基础情况，自</w:t>
      </w:r>
      <w:r>
        <w:rPr>
          <w:color w:val="3366FF"/>
          <w:spacing w:val="-54"/>
        </w:rPr>
        <w:t> </w:t>
      </w:r>
      <w:r>
        <w:rPr>
          <w:color w:val="3366FF"/>
        </w:rPr>
        <w:t>2017</w:t>
      </w:r>
      <w:r>
        <w:rPr>
          <w:color w:val="3366FF"/>
          <w:spacing w:val="-51"/>
        </w:rPr>
        <w:t> </w:t>
      </w:r>
      <w:r>
        <w:rPr>
          <w:color w:val="3366FF"/>
        </w:rPr>
        <w:t>年起在精细化工技术专业(涂料方向)与长沙市紫荆花涂料有限公司</w:t>
      </w:r>
      <w:r>
        <w:rPr>
          <w:color w:val="3366FF"/>
          <w:spacing w:val="-89"/>
        </w:rPr>
        <w:t>、</w:t>
      </w:r>
      <w:r>
        <w:rPr>
          <w:color w:val="3366FF"/>
        </w:rPr>
        <w:t>湖南松井新材料有限公司等多家优质本土涂料企业联合推进现代学徒制试点项目</w:t>
      </w:r>
      <w:r>
        <w:rPr>
          <w:color w:val="3366FF"/>
          <w:spacing w:val="-22"/>
        </w:rPr>
        <w:t>，</w:t>
      </w:r>
      <w:r>
        <w:rPr>
          <w:color w:val="3366FF"/>
        </w:rPr>
        <w:t>开启校企合作育人的新模式</w:t>
      </w:r>
      <w:r>
        <w:rPr>
          <w:color w:val="3366FF"/>
          <w:spacing w:val="-22"/>
        </w:rPr>
        <w:t>。</w:t>
      </w:r>
      <w:r>
        <w:rPr>
          <w:color w:val="3366FF"/>
        </w:rPr>
        <w:t>一是校企深度融合</w:t>
      </w:r>
      <w:r>
        <w:rPr>
          <w:color w:val="3366FF"/>
          <w:spacing w:val="-22"/>
        </w:rPr>
        <w:t>，</w:t>
      </w:r>
      <w:r>
        <w:rPr>
          <w:color w:val="3366FF"/>
        </w:rPr>
        <w:t>双元交互育人</w:t>
      </w:r>
      <w:r>
        <w:rPr>
          <w:color w:val="3366FF"/>
          <w:spacing w:val="-22"/>
        </w:rPr>
        <w:t>。</w:t>
      </w:r>
      <w:r>
        <w:rPr>
          <w:color w:val="3366FF"/>
        </w:rPr>
        <w:t>重新构建精细化工涂料方</w:t>
      </w:r>
      <w:r>
        <w:rPr>
          <w:color w:val="3366FF"/>
          <w:spacing w:val="-29"/>
        </w:rPr>
        <w:t>向</w:t>
      </w:r>
      <w:r>
        <w:rPr>
          <w:color w:val="3366FF"/>
          <w:spacing w:val="-3"/>
        </w:rPr>
        <w:t>“</w:t>
      </w:r>
      <w:r>
        <w:rPr>
          <w:color w:val="3366FF"/>
        </w:rPr>
        <w:t>六对接</w:t>
        <w:tab/>
        <w:t>三递进</w:t>
      </w:r>
      <w:r>
        <w:rPr>
          <w:color w:val="3366FF"/>
          <w:spacing w:val="-29"/>
        </w:rPr>
        <w:t>”</w:t>
      </w:r>
      <w:r>
        <w:rPr>
          <w:color w:val="3366FF"/>
        </w:rPr>
        <w:t>校企共育人才培养模式及工学交替课程体</w:t>
      </w:r>
      <w:r>
        <w:rPr>
          <w:color w:val="3366FF"/>
          <w:spacing w:val="-29"/>
        </w:rPr>
        <w:t>。</w:t>
      </w:r>
      <w:r>
        <w:rPr>
          <w:color w:val="3366FF"/>
        </w:rPr>
        <w:t>二是校企资源共享</w:t>
      </w:r>
      <w:r>
        <w:rPr>
          <w:color w:val="3366FF"/>
          <w:spacing w:val="-46"/>
        </w:rPr>
        <w:t>，</w:t>
      </w:r>
      <w:r>
        <w:rPr>
          <w:color w:val="3366FF"/>
        </w:rPr>
        <w:t>理实交融并进</w:t>
      </w:r>
      <w:r>
        <w:rPr>
          <w:color w:val="3366FF"/>
          <w:spacing w:val="-44"/>
        </w:rPr>
        <w:t>。</w:t>
      </w:r>
      <w:r>
        <w:rPr>
          <w:color w:val="3366FF"/>
        </w:rPr>
        <w:t>我们充分研究学生在生产岗位中的理论需要与技能需求，完全打破理实教学的时空障碍性，根据企业生产淡旺季，合理调度理实交替周期</w:t>
      </w:r>
      <w:r>
        <w:rPr>
          <w:color w:val="3366FF"/>
          <w:spacing w:val="-16"/>
        </w:rPr>
        <w:t>， </w:t>
      </w:r>
      <w:r>
        <w:rPr>
          <w:color w:val="3366FF"/>
        </w:rPr>
        <w:t>做到</w:t>
      </w:r>
      <w:r>
        <w:rPr>
          <w:color w:val="3366FF"/>
          <w:spacing w:val="2"/>
        </w:rPr>
        <w:t>“</w:t>
      </w:r>
      <w:r>
        <w:rPr>
          <w:color w:val="3366FF"/>
        </w:rPr>
        <w:t>学</w:t>
      </w:r>
      <w:r>
        <w:rPr>
          <w:color w:val="3366FF"/>
          <w:spacing w:val="2"/>
        </w:rPr>
        <w:t>校</w:t>
      </w:r>
      <w:r>
        <w:rPr>
          <w:color w:val="3366FF"/>
        </w:rPr>
        <w:t>现场</w:t>
      </w:r>
      <w:r>
        <w:rPr>
          <w:color w:val="3366FF"/>
          <w:spacing w:val="2"/>
        </w:rPr>
        <w:t>练</w:t>
      </w:r>
      <w:r>
        <w:rPr>
          <w:color w:val="3366FF"/>
        </w:rPr>
        <w:t>实操</w:t>
      </w:r>
      <w:r>
        <w:rPr>
          <w:color w:val="3366FF"/>
          <w:spacing w:val="2"/>
        </w:rPr>
        <w:t>，</w:t>
      </w:r>
      <w:r>
        <w:rPr>
          <w:color w:val="3366FF"/>
        </w:rPr>
        <w:t>企业</w:t>
      </w:r>
      <w:r>
        <w:rPr>
          <w:color w:val="3366FF"/>
          <w:spacing w:val="2"/>
        </w:rPr>
        <w:t>现</w:t>
      </w:r>
      <w:r>
        <w:rPr>
          <w:color w:val="3366FF"/>
        </w:rPr>
        <w:t>场</w:t>
      </w:r>
      <w:r>
        <w:rPr>
          <w:color w:val="3366FF"/>
          <w:spacing w:val="2"/>
        </w:rPr>
        <w:t>学</w:t>
      </w:r>
      <w:r>
        <w:rPr>
          <w:color w:val="3366FF"/>
        </w:rPr>
        <w:t>理论</w:t>
      </w:r>
      <w:r>
        <w:rPr>
          <w:color w:val="3366FF"/>
          <w:spacing w:val="-120"/>
        </w:rPr>
        <w:t>”</w:t>
      </w:r>
      <w:r>
        <w:rPr>
          <w:color w:val="3366FF"/>
        </w:rPr>
        <w:t>，</w:t>
      </w:r>
      <w:r>
        <w:rPr>
          <w:color w:val="3366FF"/>
          <w:spacing w:val="2"/>
        </w:rPr>
        <w:t>实</w:t>
      </w:r>
      <w:r>
        <w:rPr>
          <w:color w:val="3366FF"/>
        </w:rPr>
        <w:t>现将</w:t>
      </w:r>
      <w:r>
        <w:rPr>
          <w:color w:val="3366FF"/>
          <w:spacing w:val="2"/>
        </w:rPr>
        <w:t>学</w:t>
      </w:r>
      <w:r>
        <w:rPr>
          <w:color w:val="3366FF"/>
        </w:rPr>
        <w:t>校理</w:t>
      </w:r>
      <w:r>
        <w:rPr>
          <w:color w:val="3366FF"/>
          <w:spacing w:val="2"/>
        </w:rPr>
        <w:t>论</w:t>
      </w:r>
      <w:r>
        <w:rPr>
          <w:color w:val="3366FF"/>
        </w:rPr>
        <w:t>学习</w:t>
      </w:r>
      <w:r>
        <w:rPr>
          <w:color w:val="3366FF"/>
          <w:spacing w:val="2"/>
        </w:rPr>
        <w:t>场</w:t>
      </w:r>
      <w:r>
        <w:rPr>
          <w:color w:val="3366FF"/>
        </w:rPr>
        <w:t>所</w:t>
      </w:r>
      <w:r>
        <w:rPr>
          <w:color w:val="3366FF"/>
          <w:spacing w:val="2"/>
        </w:rPr>
        <w:t>与</w:t>
      </w:r>
      <w:r>
        <w:rPr>
          <w:color w:val="3366FF"/>
        </w:rPr>
        <w:t>企业</w:t>
      </w:r>
      <w:r>
        <w:rPr>
          <w:color w:val="3366FF"/>
          <w:spacing w:val="2"/>
        </w:rPr>
        <w:t>技</w:t>
      </w:r>
      <w:r>
        <w:rPr>
          <w:color w:val="3366FF"/>
        </w:rPr>
        <w:t>能实操</w:t>
      </w:r>
    </w:p>
    <w:p>
      <w:pPr>
        <w:spacing w:after="0" w:line="364" w:lineRule="auto"/>
        <w:sectPr>
          <w:pgSz w:w="11910" w:h="16840"/>
          <w:pgMar w:header="780" w:footer="1241" w:top="1260" w:bottom="1440" w:left="0" w:right="0"/>
        </w:sectPr>
      </w:pPr>
    </w:p>
    <w:p>
      <w:pPr>
        <w:pStyle w:val="BodyText"/>
        <w:rPr>
          <w:sz w:val="12"/>
        </w:rPr>
      </w:pPr>
    </w:p>
    <w:p>
      <w:pPr>
        <w:pStyle w:val="BodyText"/>
        <w:spacing w:line="364" w:lineRule="auto" w:before="66"/>
        <w:ind w:left="1418" w:right="1334"/>
      </w:pPr>
      <w:r>
        <w:rPr>
          <w:color w:val="3366FF"/>
          <w:spacing w:val="-7"/>
        </w:rPr>
        <w:t>现场进行时空置换。三是校企齐头并进，学生受益良多。针对现代学徒制试点运行中出</w:t>
      </w:r>
      <w:r>
        <w:rPr>
          <w:color w:val="3366FF"/>
          <w:spacing w:val="-10"/>
        </w:rPr>
        <w:t>现的难题，校企双方多次召集学生开展形式多样的座谈会，查漏补缺，完善制度，全力</w:t>
      </w:r>
      <w:r>
        <w:rPr>
          <w:color w:val="3366FF"/>
          <w:spacing w:val="-18"/>
        </w:rPr>
        <w:t>解决学生所面临的一系列困难，实现企业不离学生和学生不离岗位，切实做到学校放心、</w:t>
      </w:r>
      <w:r>
        <w:rPr>
          <w:color w:val="3366FF"/>
        </w:rPr>
        <w:t>企业安心与学生开心。2018</w:t>
      </w:r>
      <w:r>
        <w:rPr>
          <w:color w:val="3366FF"/>
          <w:spacing w:val="-8"/>
        </w:rPr>
        <w:t> 年，获批立项为国家第三批现代学徒制试点单位。</w:t>
      </w:r>
    </w:p>
    <w:p>
      <w:pPr>
        <w:pStyle w:val="Heading2"/>
        <w:numPr>
          <w:ilvl w:val="2"/>
          <w:numId w:val="5"/>
        </w:numPr>
        <w:tabs>
          <w:tab w:pos="2743" w:val="left" w:leader="none"/>
          <w:tab w:pos="2744" w:val="left" w:leader="none"/>
        </w:tabs>
        <w:spacing w:line="240" w:lineRule="auto" w:before="3" w:after="0"/>
        <w:ind w:left="2743" w:right="0" w:hanging="846"/>
        <w:jc w:val="left"/>
      </w:pPr>
      <w:bookmarkStart w:name="4.2.2  订单培养" w:id="198"/>
      <w:bookmarkEnd w:id="198"/>
      <w:r>
        <w:rPr>
          <w:b w:val="0"/>
        </w:rPr>
      </w:r>
      <w:bookmarkStart w:name="_bookmark72" w:id="199"/>
      <w:bookmarkEnd w:id="199"/>
      <w:r>
        <w:rPr>
          <w:b w:val="0"/>
        </w:rPr>
      </w:r>
      <w:bookmarkStart w:name="_bookmark72" w:id="200"/>
      <w:bookmarkEnd w:id="200"/>
      <w:r>
        <w:rPr/>
        <w:t>订单培养</w:t>
      </w:r>
    </w:p>
    <w:p>
      <w:pPr>
        <w:pStyle w:val="BodyText"/>
        <w:spacing w:before="4"/>
        <w:rPr>
          <w:rFonts w:ascii="黑体"/>
          <w:b/>
          <w:sz w:val="18"/>
        </w:rPr>
      </w:pPr>
    </w:p>
    <w:p>
      <w:pPr>
        <w:pStyle w:val="BodyText"/>
        <w:spacing w:line="364" w:lineRule="auto"/>
        <w:ind w:left="1418" w:right="1417" w:firstLine="480"/>
        <w:jc w:val="both"/>
      </w:pPr>
      <w:r>
        <w:rPr>
          <w:spacing w:val="-5"/>
        </w:rPr>
        <w:t>学院根据行业生产特点，通过归类生产与经营等企业人才需求订单，将同类需求企</w:t>
      </w:r>
      <w:r>
        <w:rPr>
          <w:spacing w:val="-6"/>
        </w:rPr>
        <w:t>业订单组合成班，开展跨企业的“组合式订单培养”。培养过程中，校企合作双方共同</w:t>
      </w:r>
      <w:r>
        <w:rPr>
          <w:spacing w:val="-10"/>
        </w:rPr>
        <w:t>制定实施教学计划和人才培养方案，共同对学生进行全面教育和日常管理，邀请业内有</w:t>
      </w:r>
      <w:r>
        <w:rPr>
          <w:spacing w:val="-4"/>
        </w:rPr>
        <w:t>良好学历背景及实践经验丰富的专家，结合专业课程的具体章节开设专题或承担一门专</w:t>
      </w:r>
      <w:r>
        <w:rPr>
          <w:spacing w:val="-6"/>
        </w:rPr>
        <w:t>业课程教学，既丰富了课堂教学形态，又使教学内容得以紧贴行业、企业的最新发展动</w:t>
      </w:r>
      <w:r>
        <w:rPr/>
        <w:t>态，使培养过程更贴近企业岗位群需求。</w:t>
      </w:r>
    </w:p>
    <w:p>
      <w:pPr>
        <w:pStyle w:val="BodyText"/>
        <w:ind w:left="1917"/>
        <w:rPr>
          <w:sz w:val="20"/>
        </w:rPr>
      </w:pPr>
      <w:r>
        <w:rPr>
          <w:sz w:val="20"/>
        </w:rPr>
        <w:drawing>
          <wp:inline distT="0" distB="0" distL="0" distR="0">
            <wp:extent cx="5125212" cy="2362200"/>
            <wp:effectExtent l="0" t="0" r="0" b="0"/>
            <wp:docPr id="131" name="image57.png"/>
            <wp:cNvGraphicFramePr>
              <a:graphicFrameLocks noChangeAspect="1"/>
            </wp:cNvGraphicFramePr>
            <a:graphic>
              <a:graphicData uri="http://schemas.openxmlformats.org/drawingml/2006/picture">
                <pic:pic>
                  <pic:nvPicPr>
                    <pic:cNvPr id="132" name="image57.png"/>
                    <pic:cNvPicPr/>
                  </pic:nvPicPr>
                  <pic:blipFill>
                    <a:blip r:embed="rId70" cstate="print"/>
                    <a:stretch>
                      <a:fillRect/>
                    </a:stretch>
                  </pic:blipFill>
                  <pic:spPr>
                    <a:xfrm>
                      <a:off x="0" y="0"/>
                      <a:ext cx="5125212" cy="2362200"/>
                    </a:xfrm>
                    <a:prstGeom prst="rect">
                      <a:avLst/>
                    </a:prstGeom>
                  </pic:spPr>
                </pic:pic>
              </a:graphicData>
            </a:graphic>
          </wp:inline>
        </w:drawing>
      </w:r>
      <w:r>
        <w:rPr>
          <w:sz w:val="20"/>
        </w:rPr>
      </w:r>
    </w:p>
    <w:p>
      <w:pPr>
        <w:tabs>
          <w:tab w:pos="791" w:val="left" w:leader="none"/>
        </w:tabs>
        <w:spacing w:before="156"/>
        <w:ind w:left="0" w:right="9" w:firstLine="0"/>
        <w:jc w:val="center"/>
        <w:rPr>
          <w:b/>
          <w:sz w:val="21"/>
        </w:rPr>
      </w:pPr>
      <w:r>
        <w:rPr>
          <w:b/>
          <w:sz w:val="21"/>
        </w:rPr>
        <w:t>图</w:t>
      </w:r>
      <w:r>
        <w:rPr>
          <w:b/>
          <w:spacing w:val="-53"/>
          <w:sz w:val="21"/>
        </w:rPr>
        <w:t> </w:t>
      </w:r>
      <w:r>
        <w:rPr>
          <w:b/>
          <w:sz w:val="21"/>
        </w:rPr>
        <w:t>4-2</w:t>
        <w:tab/>
        <w:t>学院及全国高职院校</w:t>
      </w:r>
      <w:r>
        <w:rPr>
          <w:b/>
          <w:spacing w:val="-54"/>
          <w:sz w:val="21"/>
        </w:rPr>
        <w:t> </w:t>
      </w:r>
      <w:r>
        <w:rPr>
          <w:b/>
          <w:sz w:val="21"/>
        </w:rPr>
        <w:t>2017</w:t>
      </w:r>
      <w:r>
        <w:rPr>
          <w:b/>
          <w:spacing w:val="-55"/>
          <w:sz w:val="21"/>
        </w:rPr>
        <w:t> </w:t>
      </w:r>
      <w:r>
        <w:rPr>
          <w:b/>
          <w:sz w:val="21"/>
        </w:rPr>
        <w:t>学年主要合作企业订单培养人数占在校生人数比例</w:t>
      </w:r>
    </w:p>
    <w:p>
      <w:pPr>
        <w:spacing w:before="43"/>
        <w:ind w:left="4390" w:right="1" w:firstLine="0"/>
        <w:jc w:val="center"/>
        <w:rPr>
          <w:b/>
          <w:sz w:val="21"/>
        </w:rPr>
      </w:pPr>
      <w:r>
        <w:rPr>
          <w:b/>
          <w:sz w:val="21"/>
        </w:rPr>
        <w:t>数据来源：全国高职院校状态数据采集与管理系统</w:t>
      </w:r>
    </w:p>
    <w:p>
      <w:pPr>
        <w:pStyle w:val="BodyText"/>
        <w:spacing w:before="11"/>
        <w:rPr>
          <w:b/>
          <w:sz w:val="7"/>
        </w:rPr>
      </w:pPr>
    </w:p>
    <w:p>
      <w:pPr>
        <w:pStyle w:val="Heading2"/>
        <w:numPr>
          <w:ilvl w:val="1"/>
          <w:numId w:val="5"/>
        </w:numPr>
        <w:tabs>
          <w:tab w:pos="2471" w:val="left" w:leader="none"/>
          <w:tab w:pos="2472" w:val="left" w:leader="none"/>
        </w:tabs>
        <w:spacing w:line="240" w:lineRule="auto" w:before="78" w:after="0"/>
        <w:ind w:left="2472" w:right="0" w:hanging="574"/>
        <w:jc w:val="left"/>
      </w:pPr>
      <w:bookmarkStart w:name="4.3  校企协同创新" w:id="201"/>
      <w:bookmarkEnd w:id="201"/>
      <w:r>
        <w:rPr>
          <w:b w:val="0"/>
        </w:rPr>
      </w:r>
      <w:bookmarkStart w:name="_bookmark73" w:id="202"/>
      <w:bookmarkEnd w:id="202"/>
      <w:r>
        <w:rPr>
          <w:b w:val="0"/>
        </w:rPr>
      </w:r>
      <w:bookmarkStart w:name="_bookmark73" w:id="203"/>
      <w:bookmarkEnd w:id="203"/>
      <w:r>
        <w:rPr/>
        <w:t>校企协同创新</w:t>
      </w:r>
    </w:p>
    <w:p>
      <w:pPr>
        <w:pStyle w:val="BodyText"/>
        <w:spacing w:before="8"/>
        <w:rPr>
          <w:rFonts w:ascii="黑体"/>
          <w:b/>
        </w:rPr>
      </w:pPr>
    </w:p>
    <w:p>
      <w:pPr>
        <w:pStyle w:val="BodyText"/>
        <w:spacing w:line="364" w:lineRule="auto" w:before="1"/>
        <w:ind w:left="1418" w:right="1417" w:firstLine="480"/>
        <w:jc w:val="both"/>
      </w:pPr>
      <w:r>
        <w:rPr>
          <w:spacing w:val="-5"/>
        </w:rPr>
        <w:t>通过校企多维联动，优化集团体制机制，进一步加强了产学研合作。湖南省石化中</w:t>
      </w:r>
      <w:r>
        <w:rPr>
          <w:spacing w:val="-4"/>
        </w:rPr>
        <w:t>小企业科技创新服务平台建设顺利通过验收，株洲化工产业技术创新战略联盟及多个产学研合作基地建设工作顺利推进。集团内职业院校利用自身理论优势，与企业联合开展</w:t>
      </w:r>
      <w:r>
        <w:rPr/>
        <w:t>高技能人才培养、科研攻关、研制开发新产品，产生了良好的社会效益。</w:t>
      </w:r>
    </w:p>
    <w:p>
      <w:pPr>
        <w:pStyle w:val="BodyText"/>
        <w:spacing w:line="364" w:lineRule="auto"/>
        <w:ind w:left="1418" w:right="1417" w:firstLine="480"/>
        <w:jc w:val="both"/>
      </w:pPr>
      <w:r>
        <w:rPr>
          <w:spacing w:val="-6"/>
        </w:rPr>
        <w:t>依托职教集团成员单位，建立以纳米粉体材料、涂料涂装、分析检测、环境处理等</w:t>
      </w:r>
      <w:r>
        <w:rPr>
          <w:spacing w:val="-3"/>
        </w:rPr>
        <w:t>技术研发应用与能源测试项目为载体的应用化工技术协同创新中心，按照企业生产环境</w:t>
      </w:r>
      <w:r>
        <w:rPr>
          <w:spacing w:val="-8"/>
        </w:rPr>
        <w:t>建成应用化工技术、食品药品生产与检测、化工自动化技术等 </w:t>
      </w:r>
      <w:r>
        <w:rPr/>
        <w:t>3</w:t>
      </w:r>
      <w:r>
        <w:rPr>
          <w:spacing w:val="-9"/>
        </w:rPr>
        <w:t> 个以上技术技能人才培</w:t>
      </w:r>
    </w:p>
    <w:p>
      <w:pPr>
        <w:spacing w:after="0" w:line="364" w:lineRule="auto"/>
        <w:jc w:val="both"/>
        <w:sectPr>
          <w:pgSz w:w="11910" w:h="16840"/>
          <w:pgMar w:header="780" w:footer="1241" w:top="1260" w:bottom="1440" w:left="0" w:right="0"/>
        </w:sectPr>
      </w:pPr>
    </w:p>
    <w:p>
      <w:pPr>
        <w:pStyle w:val="BodyText"/>
        <w:spacing w:line="364" w:lineRule="auto" w:before="141"/>
        <w:ind w:left="1418" w:right="1365"/>
        <w:jc w:val="both"/>
      </w:pPr>
      <w:r>
        <w:rPr>
          <w:spacing w:val="-5"/>
        </w:rPr>
        <w:t>养培训中心。共建了涂料研发与应用技术中心、化妆品生产与品牌推广中心、天然药物</w:t>
      </w:r>
      <w:r>
        <w:rPr>
          <w:spacing w:val="-6"/>
        </w:rPr>
        <w:t>提取工程技术研发中心和自动化应用技术研创工作室等研发机构。同时，联合校友会， </w:t>
      </w:r>
      <w:r>
        <w:rPr>
          <w:spacing w:val="-4"/>
        </w:rPr>
        <w:t>成立了华南涂料行业校友分会、华南化妆品行业校友分会，促成了学院与校友、社会企</w:t>
      </w:r>
      <w:r>
        <w:rPr>
          <w:spacing w:val="-7"/>
        </w:rPr>
        <w:t>业以及与地方之间等方面的合作，进一步开拓校友、学院、地方互利互赢和共同发展的良好局面。</w:t>
      </w:r>
    </w:p>
    <w:p>
      <w:pPr>
        <w:spacing w:after="0" w:line="364" w:lineRule="auto"/>
        <w:jc w:val="both"/>
        <w:sectPr>
          <w:footerReference w:type="default" r:id="rId71"/>
          <w:pgSz w:w="11910" w:h="16840"/>
          <w:pgMar w:footer="1235" w:header="780" w:top="1260" w:bottom="1420" w:left="0" w:right="0"/>
          <w:pgNumType w:start="50"/>
        </w:sect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1"/>
        <w:numPr>
          <w:ilvl w:val="0"/>
          <w:numId w:val="5"/>
        </w:numPr>
        <w:tabs>
          <w:tab w:pos="2397" w:val="left" w:leader="none"/>
          <w:tab w:pos="2398" w:val="left" w:leader="none"/>
        </w:tabs>
        <w:spacing w:line="240" w:lineRule="auto" w:before="73" w:after="0"/>
        <w:ind w:left="2397" w:right="0" w:hanging="421"/>
        <w:jc w:val="left"/>
      </w:pPr>
      <w:bookmarkStart w:name="5  政策保障" w:id="204"/>
      <w:bookmarkEnd w:id="204"/>
      <w:r>
        <w:rPr>
          <w:b w:val="0"/>
        </w:rPr>
      </w:r>
      <w:bookmarkStart w:name="_bookmark74" w:id="205"/>
      <w:bookmarkEnd w:id="205"/>
      <w:r>
        <w:rPr>
          <w:b w:val="0"/>
        </w:rPr>
      </w:r>
      <w:bookmarkStart w:name="_bookmark74" w:id="206"/>
      <w:bookmarkEnd w:id="206"/>
      <w:r>
        <w:rPr/>
        <w:t>政策保障</w:t>
      </w:r>
    </w:p>
    <w:p>
      <w:pPr>
        <w:pStyle w:val="BodyText"/>
        <w:spacing w:before="8"/>
        <w:rPr>
          <w:rFonts w:ascii="黑体"/>
          <w:b/>
          <w:sz w:val="34"/>
        </w:rPr>
      </w:pPr>
    </w:p>
    <w:p>
      <w:pPr>
        <w:pStyle w:val="Heading2"/>
        <w:numPr>
          <w:ilvl w:val="1"/>
          <w:numId w:val="5"/>
        </w:numPr>
        <w:tabs>
          <w:tab w:pos="2471" w:val="left" w:leader="none"/>
          <w:tab w:pos="2472" w:val="left" w:leader="none"/>
        </w:tabs>
        <w:spacing w:line="240" w:lineRule="auto" w:before="0" w:after="0"/>
        <w:ind w:left="2472" w:right="0" w:hanging="574"/>
        <w:jc w:val="left"/>
      </w:pPr>
      <w:bookmarkStart w:name="5.1  落实政策表" w:id="207"/>
      <w:bookmarkEnd w:id="207"/>
      <w:r>
        <w:rPr>
          <w:b w:val="0"/>
        </w:rPr>
      </w:r>
      <w:bookmarkStart w:name="_bookmark75" w:id="208"/>
      <w:bookmarkEnd w:id="208"/>
      <w:r>
        <w:rPr>
          <w:b w:val="0"/>
        </w:rPr>
      </w:r>
      <w:bookmarkStart w:name="_bookmark75" w:id="209"/>
      <w:bookmarkEnd w:id="209"/>
      <w:r>
        <w:rPr/>
        <w:t>落实政策表</w:t>
      </w:r>
    </w:p>
    <w:p>
      <w:pPr>
        <w:pStyle w:val="BodyText"/>
        <w:spacing w:before="9"/>
        <w:rPr>
          <w:rFonts w:ascii="黑体"/>
          <w:b/>
          <w:sz w:val="20"/>
        </w:rPr>
      </w:pPr>
    </w:p>
    <w:p>
      <w:pPr>
        <w:tabs>
          <w:tab w:pos="791" w:val="left" w:leader="none"/>
        </w:tabs>
        <w:spacing w:before="70" w:after="23"/>
        <w:ind w:left="0" w:right="33" w:firstLine="0"/>
        <w:jc w:val="center"/>
        <w:rPr>
          <w:b/>
          <w:sz w:val="21"/>
        </w:rPr>
      </w:pPr>
      <w:r>
        <w:rPr>
          <w:b/>
          <w:sz w:val="21"/>
        </w:rPr>
        <w:t>表</w:t>
      </w:r>
      <w:r>
        <w:rPr>
          <w:b/>
          <w:spacing w:val="-53"/>
          <w:sz w:val="21"/>
        </w:rPr>
        <w:t> </w:t>
      </w:r>
      <w:r>
        <w:rPr>
          <w:b/>
          <w:sz w:val="21"/>
        </w:rPr>
        <w:t>5-1</w:t>
        <w:tab/>
        <w:t>落实政策表</w:t>
      </w:r>
    </w:p>
    <w:tbl>
      <w:tblPr>
        <w:tblW w:w="0" w:type="auto"/>
        <w:jc w:val="left"/>
        <w:tblInd w:w="13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1"/>
        <w:gridCol w:w="852"/>
        <w:gridCol w:w="425"/>
        <w:gridCol w:w="3832"/>
        <w:gridCol w:w="996"/>
        <w:gridCol w:w="1099"/>
        <w:gridCol w:w="1116"/>
      </w:tblGrid>
      <w:tr>
        <w:trPr>
          <w:trHeight w:val="718" w:hRule="atLeast"/>
        </w:trPr>
        <w:tc>
          <w:tcPr>
            <w:tcW w:w="851" w:type="dxa"/>
            <w:tcBorders>
              <w:bottom w:val="single" w:sz="8" w:space="0" w:color="000000"/>
              <w:right w:val="single" w:sz="8" w:space="0" w:color="000000"/>
            </w:tcBorders>
          </w:tcPr>
          <w:p>
            <w:pPr>
              <w:pStyle w:val="TableParagraph"/>
              <w:spacing w:line="347" w:lineRule="exact"/>
              <w:ind w:left="185"/>
              <w:rPr>
                <w:rFonts w:ascii="Microsoft JhengHei" w:eastAsia="Microsoft JhengHei" w:hint="eastAsia"/>
                <w:b/>
                <w:sz w:val="24"/>
              </w:rPr>
            </w:pPr>
            <w:r>
              <w:rPr>
                <w:rFonts w:ascii="Microsoft JhengHei" w:eastAsia="Microsoft JhengHei" w:hint="eastAsia"/>
                <w:b/>
                <w:sz w:val="24"/>
              </w:rPr>
              <w:t>院校</w:t>
            </w:r>
          </w:p>
          <w:p>
            <w:pPr>
              <w:pStyle w:val="TableParagraph"/>
              <w:spacing w:line="351" w:lineRule="exact"/>
              <w:ind w:left="185"/>
              <w:rPr>
                <w:rFonts w:ascii="Microsoft JhengHei" w:eastAsia="Microsoft JhengHei" w:hint="eastAsia"/>
                <w:b/>
                <w:sz w:val="24"/>
              </w:rPr>
            </w:pPr>
            <w:r>
              <w:rPr>
                <w:rFonts w:ascii="Microsoft JhengHei" w:eastAsia="Microsoft JhengHei" w:hint="eastAsia"/>
                <w:b/>
                <w:sz w:val="24"/>
              </w:rPr>
              <w:t>代码</w:t>
            </w:r>
          </w:p>
        </w:tc>
        <w:tc>
          <w:tcPr>
            <w:tcW w:w="852" w:type="dxa"/>
            <w:tcBorders>
              <w:left w:val="single" w:sz="8" w:space="0" w:color="000000"/>
              <w:bottom w:val="single" w:sz="8" w:space="0" w:color="000000"/>
              <w:right w:val="single" w:sz="8" w:space="0" w:color="000000"/>
            </w:tcBorders>
          </w:tcPr>
          <w:p>
            <w:pPr>
              <w:pStyle w:val="TableParagraph"/>
              <w:spacing w:line="347" w:lineRule="exact"/>
              <w:ind w:left="191"/>
              <w:rPr>
                <w:rFonts w:ascii="Microsoft JhengHei" w:eastAsia="Microsoft JhengHei" w:hint="eastAsia"/>
                <w:b/>
                <w:sz w:val="24"/>
              </w:rPr>
            </w:pPr>
            <w:r>
              <w:rPr>
                <w:rFonts w:ascii="Microsoft JhengHei" w:eastAsia="Microsoft JhengHei" w:hint="eastAsia"/>
                <w:b/>
                <w:sz w:val="24"/>
              </w:rPr>
              <w:t>院校</w:t>
            </w:r>
          </w:p>
          <w:p>
            <w:pPr>
              <w:pStyle w:val="TableParagraph"/>
              <w:spacing w:line="351" w:lineRule="exact"/>
              <w:ind w:left="191"/>
              <w:rPr>
                <w:rFonts w:ascii="Microsoft JhengHei" w:eastAsia="Microsoft JhengHei" w:hint="eastAsia"/>
                <w:b/>
                <w:sz w:val="24"/>
              </w:rPr>
            </w:pPr>
            <w:r>
              <w:rPr>
                <w:rFonts w:ascii="Microsoft JhengHei" w:eastAsia="Microsoft JhengHei" w:hint="eastAsia"/>
                <w:b/>
                <w:sz w:val="24"/>
              </w:rPr>
              <w:t>名称</w:t>
            </w:r>
          </w:p>
        </w:tc>
        <w:tc>
          <w:tcPr>
            <w:tcW w:w="4257" w:type="dxa"/>
            <w:gridSpan w:val="2"/>
            <w:tcBorders>
              <w:left w:val="single" w:sz="8" w:space="0" w:color="000000"/>
              <w:bottom w:val="single" w:sz="8" w:space="0" w:color="000000"/>
              <w:right w:val="single" w:sz="8" w:space="0" w:color="000000"/>
            </w:tcBorders>
          </w:tcPr>
          <w:p>
            <w:pPr>
              <w:pStyle w:val="TableParagraph"/>
              <w:spacing w:before="126"/>
              <w:ind w:left="1872" w:right="1844"/>
              <w:jc w:val="center"/>
              <w:rPr>
                <w:rFonts w:ascii="Microsoft JhengHei" w:eastAsia="Microsoft JhengHei" w:hint="eastAsia"/>
                <w:b/>
                <w:sz w:val="24"/>
              </w:rPr>
            </w:pPr>
            <w:r>
              <w:rPr>
                <w:rFonts w:ascii="Microsoft JhengHei" w:eastAsia="Microsoft JhengHei" w:hint="eastAsia"/>
                <w:b/>
                <w:sz w:val="24"/>
              </w:rPr>
              <w:t>指标</w:t>
            </w:r>
          </w:p>
        </w:tc>
        <w:tc>
          <w:tcPr>
            <w:tcW w:w="996" w:type="dxa"/>
            <w:tcBorders>
              <w:left w:val="single" w:sz="8" w:space="0" w:color="000000"/>
              <w:bottom w:val="single" w:sz="8" w:space="0" w:color="000000"/>
              <w:right w:val="single" w:sz="8" w:space="0" w:color="000000"/>
            </w:tcBorders>
          </w:tcPr>
          <w:p>
            <w:pPr>
              <w:pStyle w:val="TableParagraph"/>
              <w:spacing w:before="126"/>
              <w:ind w:left="241" w:right="215"/>
              <w:jc w:val="center"/>
              <w:rPr>
                <w:rFonts w:ascii="Microsoft JhengHei" w:eastAsia="Microsoft JhengHei" w:hint="eastAsia"/>
                <w:b/>
                <w:sz w:val="24"/>
              </w:rPr>
            </w:pPr>
            <w:r>
              <w:rPr>
                <w:rFonts w:ascii="Microsoft JhengHei" w:eastAsia="Microsoft JhengHei" w:hint="eastAsia"/>
                <w:b/>
                <w:sz w:val="24"/>
              </w:rPr>
              <w:t>单位</w:t>
            </w:r>
          </w:p>
        </w:tc>
        <w:tc>
          <w:tcPr>
            <w:tcW w:w="1099" w:type="dxa"/>
            <w:tcBorders>
              <w:left w:val="single" w:sz="8" w:space="0" w:color="000000"/>
              <w:bottom w:val="single" w:sz="8" w:space="0" w:color="000000"/>
              <w:right w:val="single" w:sz="8" w:space="0" w:color="000000"/>
            </w:tcBorders>
          </w:tcPr>
          <w:p>
            <w:pPr>
              <w:pStyle w:val="TableParagraph"/>
              <w:spacing w:before="126"/>
              <w:ind w:left="98" w:right="69"/>
              <w:jc w:val="center"/>
              <w:rPr>
                <w:rFonts w:ascii="Microsoft JhengHei" w:eastAsia="Microsoft JhengHei" w:hint="eastAsia"/>
                <w:b/>
                <w:sz w:val="24"/>
              </w:rPr>
            </w:pPr>
            <w:r>
              <w:rPr>
                <w:rFonts w:ascii="Microsoft JhengHei" w:eastAsia="Microsoft JhengHei" w:hint="eastAsia"/>
                <w:b/>
                <w:sz w:val="24"/>
              </w:rPr>
              <w:t>2017 年</w:t>
            </w:r>
          </w:p>
        </w:tc>
        <w:tc>
          <w:tcPr>
            <w:tcW w:w="1116" w:type="dxa"/>
            <w:tcBorders>
              <w:left w:val="single" w:sz="8" w:space="0" w:color="000000"/>
              <w:bottom w:val="single" w:sz="8" w:space="0" w:color="000000"/>
            </w:tcBorders>
          </w:tcPr>
          <w:p>
            <w:pPr>
              <w:pStyle w:val="TableParagraph"/>
              <w:spacing w:before="126"/>
              <w:ind w:right="133"/>
              <w:jc w:val="right"/>
              <w:rPr>
                <w:rFonts w:ascii="Microsoft JhengHei" w:eastAsia="Microsoft JhengHei" w:hint="eastAsia"/>
                <w:b/>
                <w:sz w:val="24"/>
              </w:rPr>
            </w:pPr>
            <w:r>
              <w:rPr>
                <w:rFonts w:ascii="Microsoft JhengHei" w:eastAsia="Microsoft JhengHei" w:hint="eastAsia"/>
                <w:b/>
                <w:w w:val="90"/>
                <w:sz w:val="24"/>
              </w:rPr>
              <w:t>2018 年</w:t>
            </w:r>
          </w:p>
        </w:tc>
      </w:tr>
      <w:tr>
        <w:trPr>
          <w:trHeight w:val="462" w:hRule="atLeast"/>
        </w:trPr>
        <w:tc>
          <w:tcPr>
            <w:tcW w:w="851" w:type="dxa"/>
            <w:vMerge w:val="restart"/>
            <w:tcBorders>
              <w:top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18"/>
              </w:rPr>
            </w:pPr>
          </w:p>
          <w:p>
            <w:pPr>
              <w:pStyle w:val="TableParagraph"/>
              <w:ind w:left="125"/>
              <w:rPr>
                <w:sz w:val="24"/>
              </w:rPr>
            </w:pPr>
            <w:r>
              <w:rPr>
                <w:sz w:val="24"/>
              </w:rPr>
              <w:t>13043</w:t>
            </w:r>
          </w:p>
        </w:tc>
        <w:tc>
          <w:tcPr>
            <w:tcW w:w="852"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8"/>
              <w:rPr>
                <w:b/>
                <w:sz w:val="17"/>
              </w:rPr>
            </w:pPr>
          </w:p>
          <w:p>
            <w:pPr>
              <w:pStyle w:val="TableParagraph"/>
              <w:spacing w:line="364" w:lineRule="auto"/>
              <w:ind w:left="191" w:right="158"/>
              <w:jc w:val="both"/>
              <w:rPr>
                <w:sz w:val="24"/>
              </w:rPr>
            </w:pPr>
            <w:r>
              <w:rPr>
                <w:sz w:val="24"/>
              </w:rPr>
              <w:t>湖南化工职业技术学院</w:t>
            </w:r>
          </w:p>
        </w:tc>
        <w:tc>
          <w:tcPr>
            <w:tcW w:w="42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3"/>
              <w:rPr>
                <w:b/>
                <w:sz w:val="25"/>
              </w:rPr>
            </w:pPr>
          </w:p>
          <w:p>
            <w:pPr>
              <w:pStyle w:val="TableParagraph"/>
              <w:ind w:left="155"/>
              <w:rPr>
                <w:sz w:val="24"/>
              </w:rPr>
            </w:pPr>
            <w:r>
              <w:rPr>
                <w:sz w:val="24"/>
              </w:rPr>
              <w:t>1</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9"/>
              <w:ind w:left="111"/>
              <w:rPr>
                <w:sz w:val="24"/>
              </w:rPr>
            </w:pPr>
            <w:r>
              <w:rPr>
                <w:sz w:val="24"/>
              </w:rPr>
              <w:t>年生均财政拨款水平</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9"/>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9"/>
              <w:ind w:left="98" w:right="69"/>
              <w:jc w:val="center"/>
              <w:rPr>
                <w:sz w:val="24"/>
              </w:rPr>
            </w:pPr>
            <w:r>
              <w:rPr>
                <w:sz w:val="24"/>
              </w:rPr>
              <w:t>12262</w:t>
            </w:r>
          </w:p>
        </w:tc>
        <w:tc>
          <w:tcPr>
            <w:tcW w:w="1116" w:type="dxa"/>
            <w:tcBorders>
              <w:top w:val="single" w:sz="8" w:space="0" w:color="000000"/>
              <w:left w:val="single" w:sz="8" w:space="0" w:color="000000"/>
              <w:bottom w:val="single" w:sz="8" w:space="0" w:color="000000"/>
            </w:tcBorders>
          </w:tcPr>
          <w:p>
            <w:pPr>
              <w:pStyle w:val="TableParagraph"/>
              <w:spacing w:before="79"/>
              <w:ind w:left="261"/>
              <w:rPr>
                <w:sz w:val="24"/>
              </w:rPr>
            </w:pPr>
            <w:r>
              <w:rPr>
                <w:sz w:val="24"/>
              </w:rPr>
              <w:t>14789</w:t>
            </w:r>
          </w:p>
        </w:tc>
      </w:tr>
      <w:tr>
        <w:trPr>
          <w:trHeight w:val="458"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tcBorders>
              <w:top w:val="nil"/>
              <w:left w:val="single" w:sz="8" w:space="0" w:color="000000"/>
              <w:bottom w:val="single" w:sz="8" w:space="0" w:color="000000"/>
              <w:right w:val="single" w:sz="8" w:space="0" w:color="000000"/>
            </w:tcBorders>
          </w:tcPr>
          <w:p>
            <w:pPr>
              <w:rPr>
                <w:sz w:val="2"/>
                <w:szCs w:val="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6"/>
              <w:ind w:left="351"/>
              <w:rPr>
                <w:sz w:val="24"/>
              </w:rPr>
            </w:pPr>
            <w:r>
              <w:rPr>
                <w:sz w:val="24"/>
              </w:rPr>
              <w:t>其中：年生均财政专项经费</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6"/>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6"/>
              <w:ind w:left="98" w:right="69"/>
              <w:jc w:val="center"/>
              <w:rPr>
                <w:sz w:val="24"/>
              </w:rPr>
            </w:pPr>
            <w:r>
              <w:rPr>
                <w:sz w:val="24"/>
              </w:rPr>
              <w:t>2084</w:t>
            </w:r>
          </w:p>
        </w:tc>
        <w:tc>
          <w:tcPr>
            <w:tcW w:w="1116" w:type="dxa"/>
            <w:tcBorders>
              <w:top w:val="single" w:sz="8" w:space="0" w:color="000000"/>
              <w:left w:val="single" w:sz="8" w:space="0" w:color="000000"/>
              <w:bottom w:val="single" w:sz="8" w:space="0" w:color="000000"/>
            </w:tcBorders>
          </w:tcPr>
          <w:p>
            <w:pPr>
              <w:pStyle w:val="TableParagraph"/>
              <w:spacing w:before="76"/>
              <w:ind w:right="167"/>
              <w:jc w:val="right"/>
              <w:rPr>
                <w:sz w:val="24"/>
              </w:rPr>
            </w:pPr>
            <w:r>
              <w:rPr>
                <w:sz w:val="24"/>
              </w:rPr>
              <w:t>3200.6</w:t>
            </w:r>
          </w:p>
        </w:tc>
      </w:tr>
      <w:tr>
        <w:trPr>
          <w:trHeight w:val="457"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spacing w:before="11"/>
              <w:rPr>
                <w:b/>
                <w:sz w:val="19"/>
              </w:rPr>
            </w:pPr>
          </w:p>
          <w:p>
            <w:pPr>
              <w:pStyle w:val="TableParagraph"/>
              <w:ind w:left="155"/>
              <w:rPr>
                <w:sz w:val="24"/>
              </w:rPr>
            </w:pPr>
            <w:r>
              <w:rPr>
                <w:sz w:val="24"/>
              </w:rPr>
              <w:t>2</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5"/>
              <w:ind w:left="111"/>
              <w:rPr>
                <w:sz w:val="24"/>
              </w:rPr>
            </w:pPr>
            <w:r>
              <w:rPr>
                <w:sz w:val="24"/>
              </w:rPr>
              <w:t>教职员工额定编制数</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5"/>
              <w:ind w:left="26"/>
              <w:jc w:val="center"/>
              <w:rPr>
                <w:sz w:val="24"/>
              </w:rPr>
            </w:pPr>
            <w:r>
              <w:rPr>
                <w:sz w:val="24"/>
              </w:rPr>
              <w:t>人</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5"/>
              <w:ind w:left="98" w:right="69"/>
              <w:jc w:val="center"/>
              <w:rPr>
                <w:sz w:val="24"/>
              </w:rPr>
            </w:pPr>
            <w:r>
              <w:rPr>
                <w:sz w:val="24"/>
              </w:rPr>
              <w:t>870</w:t>
            </w:r>
          </w:p>
        </w:tc>
        <w:tc>
          <w:tcPr>
            <w:tcW w:w="1116" w:type="dxa"/>
            <w:tcBorders>
              <w:top w:val="single" w:sz="8" w:space="0" w:color="000000"/>
              <w:left w:val="single" w:sz="8" w:space="0" w:color="000000"/>
              <w:bottom w:val="single" w:sz="8" w:space="0" w:color="000000"/>
            </w:tcBorders>
          </w:tcPr>
          <w:p>
            <w:pPr>
              <w:pStyle w:val="TableParagraph"/>
              <w:spacing w:before="75"/>
              <w:ind w:left="381"/>
              <w:rPr>
                <w:sz w:val="24"/>
              </w:rPr>
            </w:pPr>
            <w:r>
              <w:rPr>
                <w:sz w:val="24"/>
              </w:rPr>
              <w:t>870</w:t>
            </w:r>
          </w:p>
        </w:tc>
      </w:tr>
      <w:tr>
        <w:trPr>
          <w:trHeight w:val="457"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tcBorders>
              <w:top w:val="nil"/>
              <w:left w:val="single" w:sz="8" w:space="0" w:color="000000"/>
              <w:bottom w:val="single" w:sz="8" w:space="0" w:color="000000"/>
              <w:right w:val="single" w:sz="8" w:space="0" w:color="000000"/>
            </w:tcBorders>
          </w:tcPr>
          <w:p>
            <w:pPr>
              <w:rPr>
                <w:sz w:val="2"/>
                <w:szCs w:val="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4"/>
              <w:ind w:left="111"/>
              <w:rPr>
                <w:sz w:val="24"/>
              </w:rPr>
            </w:pPr>
            <w:r>
              <w:rPr>
                <w:sz w:val="24"/>
              </w:rPr>
              <w:t>在岗教职员工总数</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4"/>
              <w:ind w:left="26"/>
              <w:jc w:val="center"/>
              <w:rPr>
                <w:sz w:val="24"/>
              </w:rPr>
            </w:pPr>
            <w:r>
              <w:rPr>
                <w:sz w:val="24"/>
              </w:rPr>
              <w:t>人</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4"/>
              <w:ind w:left="98" w:right="69"/>
              <w:jc w:val="center"/>
              <w:rPr>
                <w:sz w:val="24"/>
              </w:rPr>
            </w:pPr>
            <w:r>
              <w:rPr>
                <w:sz w:val="24"/>
              </w:rPr>
              <w:t>573</w:t>
            </w:r>
          </w:p>
        </w:tc>
        <w:tc>
          <w:tcPr>
            <w:tcW w:w="1116" w:type="dxa"/>
            <w:tcBorders>
              <w:top w:val="single" w:sz="8" w:space="0" w:color="000000"/>
              <w:left w:val="single" w:sz="8" w:space="0" w:color="000000"/>
              <w:bottom w:val="single" w:sz="8" w:space="0" w:color="000000"/>
            </w:tcBorders>
          </w:tcPr>
          <w:p>
            <w:pPr>
              <w:pStyle w:val="TableParagraph"/>
              <w:spacing w:before="74"/>
              <w:ind w:left="381"/>
              <w:rPr>
                <w:sz w:val="24"/>
              </w:rPr>
            </w:pPr>
            <w:r>
              <w:rPr>
                <w:sz w:val="24"/>
              </w:rPr>
              <w:t>577</w:t>
            </w:r>
          </w:p>
        </w:tc>
      </w:tr>
      <w:tr>
        <w:trPr>
          <w:trHeight w:val="457"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tcBorders>
              <w:top w:val="nil"/>
              <w:left w:val="single" w:sz="8" w:space="0" w:color="000000"/>
              <w:bottom w:val="single" w:sz="8" w:space="0" w:color="000000"/>
              <w:right w:val="single" w:sz="8" w:space="0" w:color="000000"/>
            </w:tcBorders>
          </w:tcPr>
          <w:p>
            <w:pPr>
              <w:rPr>
                <w:sz w:val="2"/>
                <w:szCs w:val="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5"/>
              <w:ind w:left="351"/>
              <w:rPr>
                <w:sz w:val="24"/>
              </w:rPr>
            </w:pPr>
            <w:r>
              <w:rPr>
                <w:sz w:val="24"/>
              </w:rPr>
              <w:t>其中：专任教师总数</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5"/>
              <w:ind w:left="26"/>
              <w:jc w:val="center"/>
              <w:rPr>
                <w:sz w:val="24"/>
              </w:rPr>
            </w:pPr>
            <w:r>
              <w:rPr>
                <w:sz w:val="24"/>
              </w:rPr>
              <w:t>人</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5"/>
              <w:ind w:left="98" w:right="69"/>
              <w:jc w:val="center"/>
              <w:rPr>
                <w:sz w:val="24"/>
              </w:rPr>
            </w:pPr>
            <w:r>
              <w:rPr>
                <w:sz w:val="24"/>
              </w:rPr>
              <w:t>382</w:t>
            </w:r>
          </w:p>
        </w:tc>
        <w:tc>
          <w:tcPr>
            <w:tcW w:w="1116" w:type="dxa"/>
            <w:tcBorders>
              <w:top w:val="single" w:sz="8" w:space="0" w:color="000000"/>
              <w:left w:val="single" w:sz="8" w:space="0" w:color="000000"/>
              <w:bottom w:val="single" w:sz="8" w:space="0" w:color="000000"/>
            </w:tcBorders>
          </w:tcPr>
          <w:p>
            <w:pPr>
              <w:pStyle w:val="TableParagraph"/>
              <w:spacing w:before="75"/>
              <w:ind w:left="381"/>
              <w:rPr>
                <w:sz w:val="24"/>
              </w:rPr>
            </w:pPr>
            <w:r>
              <w:rPr>
                <w:sz w:val="24"/>
              </w:rPr>
              <w:t>393</w:t>
            </w:r>
          </w:p>
        </w:tc>
      </w:tr>
      <w:tr>
        <w:trPr>
          <w:trHeight w:val="458"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before="75"/>
              <w:ind w:left="155"/>
              <w:rPr>
                <w:sz w:val="24"/>
              </w:rPr>
            </w:pPr>
            <w:r>
              <w:rPr>
                <w:sz w:val="24"/>
              </w:rPr>
              <w:t>3</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5"/>
              <w:ind w:left="111"/>
              <w:rPr>
                <w:sz w:val="24"/>
              </w:rPr>
            </w:pPr>
            <w:r>
              <w:rPr>
                <w:sz w:val="24"/>
              </w:rPr>
              <w:t>企业提供的校内实践教学设备值</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5"/>
              <w:ind w:left="241" w:right="215"/>
              <w:jc w:val="center"/>
              <w:rPr>
                <w:sz w:val="24"/>
              </w:rPr>
            </w:pPr>
            <w:r>
              <w:rPr>
                <w:sz w:val="24"/>
              </w:rPr>
              <w:t>万元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5"/>
              <w:ind w:left="98" w:right="69"/>
              <w:jc w:val="center"/>
              <w:rPr>
                <w:sz w:val="24"/>
              </w:rPr>
            </w:pPr>
            <w:r>
              <w:rPr>
                <w:sz w:val="24"/>
              </w:rPr>
              <w:t>734</w:t>
            </w:r>
          </w:p>
        </w:tc>
        <w:tc>
          <w:tcPr>
            <w:tcW w:w="1116" w:type="dxa"/>
            <w:tcBorders>
              <w:top w:val="single" w:sz="8" w:space="0" w:color="000000"/>
              <w:left w:val="single" w:sz="8" w:space="0" w:color="000000"/>
              <w:bottom w:val="single" w:sz="8" w:space="0" w:color="000000"/>
            </w:tcBorders>
          </w:tcPr>
          <w:p>
            <w:pPr>
              <w:pStyle w:val="TableParagraph"/>
              <w:spacing w:before="75"/>
              <w:ind w:left="381"/>
              <w:rPr>
                <w:sz w:val="24"/>
              </w:rPr>
            </w:pPr>
            <w:r>
              <w:rPr>
                <w:sz w:val="24"/>
              </w:rPr>
              <w:t>926</w:t>
            </w:r>
          </w:p>
        </w:tc>
      </w:tr>
      <w:tr>
        <w:trPr>
          <w:trHeight w:val="457"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rPr>
                <w:b/>
                <w:sz w:val="24"/>
              </w:rPr>
            </w:pPr>
          </w:p>
          <w:p>
            <w:pPr>
              <w:pStyle w:val="TableParagraph"/>
              <w:ind w:left="155"/>
              <w:rPr>
                <w:sz w:val="24"/>
              </w:rPr>
            </w:pPr>
            <w:r>
              <w:rPr>
                <w:sz w:val="24"/>
              </w:rPr>
              <w:t>4</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4"/>
              <w:ind w:left="111"/>
              <w:rPr>
                <w:sz w:val="24"/>
              </w:rPr>
            </w:pPr>
            <w:r>
              <w:rPr>
                <w:sz w:val="24"/>
              </w:rPr>
              <w:t>生均企业实习经费补贴</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4"/>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4"/>
              <w:ind w:left="98" w:right="69"/>
              <w:jc w:val="center"/>
              <w:rPr>
                <w:sz w:val="24"/>
              </w:rPr>
            </w:pPr>
            <w:r>
              <w:rPr>
                <w:sz w:val="24"/>
              </w:rPr>
              <w:t>40</w:t>
            </w:r>
          </w:p>
        </w:tc>
        <w:tc>
          <w:tcPr>
            <w:tcW w:w="1116" w:type="dxa"/>
            <w:tcBorders>
              <w:top w:val="single" w:sz="8" w:space="0" w:color="000000"/>
              <w:left w:val="single" w:sz="8" w:space="0" w:color="000000"/>
              <w:bottom w:val="single" w:sz="8" w:space="0" w:color="000000"/>
            </w:tcBorders>
          </w:tcPr>
          <w:p>
            <w:pPr>
              <w:pStyle w:val="TableParagraph"/>
              <w:spacing w:before="74"/>
              <w:ind w:left="381"/>
              <w:rPr>
                <w:sz w:val="24"/>
              </w:rPr>
            </w:pPr>
            <w:r>
              <w:rPr>
                <w:sz w:val="24"/>
              </w:rPr>
              <w:t>300</w:t>
            </w:r>
          </w:p>
        </w:tc>
      </w:tr>
      <w:tr>
        <w:trPr>
          <w:trHeight w:val="458"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tcBorders>
              <w:top w:val="nil"/>
              <w:left w:val="single" w:sz="8" w:space="0" w:color="000000"/>
              <w:bottom w:val="single" w:sz="8" w:space="0" w:color="000000"/>
              <w:right w:val="single" w:sz="8" w:space="0" w:color="000000"/>
            </w:tcBorders>
          </w:tcPr>
          <w:p>
            <w:pPr>
              <w:rPr>
                <w:sz w:val="2"/>
                <w:szCs w:val="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6"/>
              <w:ind w:left="351"/>
              <w:rPr>
                <w:sz w:val="24"/>
              </w:rPr>
            </w:pPr>
            <w:r>
              <w:rPr>
                <w:sz w:val="24"/>
              </w:rPr>
              <w:t>其中：生均财政专项补贴</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6"/>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6"/>
              <w:ind w:left="29"/>
              <w:jc w:val="center"/>
              <w:rPr>
                <w:sz w:val="24"/>
              </w:rPr>
            </w:pPr>
            <w:r>
              <w:rPr>
                <w:sz w:val="24"/>
              </w:rPr>
              <w:t>0</w:t>
            </w:r>
          </w:p>
        </w:tc>
        <w:tc>
          <w:tcPr>
            <w:tcW w:w="1116" w:type="dxa"/>
            <w:tcBorders>
              <w:top w:val="single" w:sz="8" w:space="0" w:color="000000"/>
              <w:left w:val="single" w:sz="8" w:space="0" w:color="000000"/>
              <w:bottom w:val="single" w:sz="8" w:space="0" w:color="000000"/>
            </w:tcBorders>
          </w:tcPr>
          <w:p>
            <w:pPr>
              <w:pStyle w:val="TableParagraph"/>
              <w:spacing w:before="76"/>
              <w:ind w:left="381"/>
              <w:rPr>
                <w:sz w:val="24"/>
              </w:rPr>
            </w:pPr>
            <w:r>
              <w:rPr>
                <w:sz w:val="24"/>
              </w:rPr>
              <w:t>100</w:t>
            </w:r>
          </w:p>
        </w:tc>
      </w:tr>
      <w:tr>
        <w:trPr>
          <w:trHeight w:val="457"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rPr>
                <w:b/>
                <w:sz w:val="24"/>
              </w:rPr>
            </w:pPr>
          </w:p>
          <w:p>
            <w:pPr>
              <w:pStyle w:val="TableParagraph"/>
              <w:spacing w:before="1"/>
              <w:ind w:left="155"/>
              <w:rPr>
                <w:sz w:val="24"/>
              </w:rPr>
            </w:pPr>
            <w:r>
              <w:rPr>
                <w:sz w:val="24"/>
              </w:rPr>
              <w:t>5</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5"/>
              <w:ind w:left="111"/>
              <w:rPr>
                <w:sz w:val="24"/>
              </w:rPr>
            </w:pPr>
            <w:r>
              <w:rPr>
                <w:sz w:val="24"/>
              </w:rPr>
              <w:t>生均企业实习责任保险补贴</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5"/>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5"/>
              <w:ind w:left="98" w:right="69"/>
              <w:jc w:val="center"/>
              <w:rPr>
                <w:sz w:val="24"/>
              </w:rPr>
            </w:pPr>
            <w:r>
              <w:rPr>
                <w:sz w:val="24"/>
              </w:rPr>
              <w:t>60</w:t>
            </w:r>
          </w:p>
        </w:tc>
        <w:tc>
          <w:tcPr>
            <w:tcW w:w="1116" w:type="dxa"/>
            <w:tcBorders>
              <w:top w:val="single" w:sz="8" w:space="0" w:color="000000"/>
              <w:left w:val="single" w:sz="8" w:space="0" w:color="000000"/>
              <w:bottom w:val="single" w:sz="8" w:space="0" w:color="000000"/>
            </w:tcBorders>
          </w:tcPr>
          <w:p>
            <w:pPr>
              <w:pStyle w:val="TableParagraph"/>
              <w:spacing w:before="75"/>
              <w:ind w:left="381"/>
              <w:rPr>
                <w:sz w:val="24"/>
              </w:rPr>
            </w:pPr>
            <w:r>
              <w:rPr>
                <w:sz w:val="24"/>
              </w:rPr>
              <w:t>160</w:t>
            </w:r>
          </w:p>
        </w:tc>
      </w:tr>
      <w:tr>
        <w:trPr>
          <w:trHeight w:val="457"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tcBorders>
              <w:top w:val="nil"/>
              <w:left w:val="single" w:sz="8" w:space="0" w:color="000000"/>
              <w:bottom w:val="single" w:sz="8" w:space="0" w:color="000000"/>
              <w:right w:val="single" w:sz="8" w:space="0" w:color="000000"/>
            </w:tcBorders>
          </w:tcPr>
          <w:p>
            <w:pPr>
              <w:rPr>
                <w:sz w:val="2"/>
                <w:szCs w:val="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4"/>
              <w:ind w:left="351"/>
              <w:rPr>
                <w:sz w:val="24"/>
              </w:rPr>
            </w:pPr>
            <w:r>
              <w:rPr>
                <w:sz w:val="24"/>
              </w:rPr>
              <w:t>其中：生均财政专项补贴</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4"/>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4"/>
              <w:ind w:left="29"/>
              <w:jc w:val="center"/>
              <w:rPr>
                <w:sz w:val="24"/>
              </w:rPr>
            </w:pPr>
            <w:r>
              <w:rPr>
                <w:sz w:val="24"/>
              </w:rPr>
              <w:t>0</w:t>
            </w:r>
          </w:p>
        </w:tc>
        <w:tc>
          <w:tcPr>
            <w:tcW w:w="1116" w:type="dxa"/>
            <w:tcBorders>
              <w:top w:val="single" w:sz="8" w:space="0" w:color="000000"/>
              <w:left w:val="single" w:sz="8" w:space="0" w:color="000000"/>
              <w:bottom w:val="single" w:sz="8" w:space="0" w:color="000000"/>
            </w:tcBorders>
          </w:tcPr>
          <w:p>
            <w:pPr>
              <w:pStyle w:val="TableParagraph"/>
              <w:spacing w:before="74"/>
              <w:ind w:left="421" w:right="389"/>
              <w:jc w:val="center"/>
              <w:rPr>
                <w:sz w:val="24"/>
              </w:rPr>
            </w:pPr>
            <w:r>
              <w:rPr>
                <w:sz w:val="24"/>
              </w:rPr>
              <w:t>60</w:t>
            </w:r>
          </w:p>
        </w:tc>
      </w:tr>
      <w:tr>
        <w:trPr>
          <w:trHeight w:val="457"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spacing w:before="12"/>
              <w:rPr>
                <w:b/>
                <w:sz w:val="19"/>
              </w:rPr>
            </w:pPr>
          </w:p>
          <w:p>
            <w:pPr>
              <w:pStyle w:val="TableParagraph"/>
              <w:ind w:left="155"/>
              <w:rPr>
                <w:sz w:val="24"/>
              </w:rPr>
            </w:pPr>
            <w:r>
              <w:rPr>
                <w:sz w:val="24"/>
              </w:rPr>
              <w:t>6</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5"/>
              <w:ind w:left="111"/>
              <w:rPr>
                <w:sz w:val="24"/>
              </w:rPr>
            </w:pPr>
            <w:r>
              <w:rPr>
                <w:sz w:val="24"/>
              </w:rPr>
              <w:t>企业兼职教师年课时总量</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5"/>
              <w:ind w:left="241" w:right="215"/>
              <w:jc w:val="center"/>
              <w:rPr>
                <w:sz w:val="24"/>
              </w:rPr>
            </w:pPr>
            <w:r>
              <w:rPr>
                <w:sz w:val="24"/>
              </w:rPr>
              <w:t>课时</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5"/>
              <w:ind w:left="98" w:right="69"/>
              <w:jc w:val="center"/>
              <w:rPr>
                <w:sz w:val="24"/>
              </w:rPr>
            </w:pPr>
            <w:r>
              <w:rPr>
                <w:sz w:val="24"/>
              </w:rPr>
              <w:t>20178</w:t>
            </w:r>
          </w:p>
        </w:tc>
        <w:tc>
          <w:tcPr>
            <w:tcW w:w="1116" w:type="dxa"/>
            <w:tcBorders>
              <w:top w:val="single" w:sz="8" w:space="0" w:color="000000"/>
              <w:left w:val="single" w:sz="8" w:space="0" w:color="000000"/>
              <w:bottom w:val="single" w:sz="8" w:space="0" w:color="000000"/>
            </w:tcBorders>
          </w:tcPr>
          <w:p>
            <w:pPr>
              <w:pStyle w:val="TableParagraph"/>
              <w:spacing w:before="75"/>
              <w:ind w:left="261"/>
              <w:rPr>
                <w:sz w:val="24"/>
              </w:rPr>
            </w:pPr>
            <w:r>
              <w:rPr>
                <w:sz w:val="24"/>
              </w:rPr>
              <w:t>31274</w:t>
            </w:r>
          </w:p>
        </w:tc>
      </w:tr>
      <w:tr>
        <w:trPr>
          <w:trHeight w:val="458"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tcBorders>
              <w:top w:val="nil"/>
              <w:left w:val="single" w:sz="8" w:space="0" w:color="000000"/>
              <w:right w:val="single" w:sz="8" w:space="0" w:color="000000"/>
            </w:tcBorders>
          </w:tcPr>
          <w:p>
            <w:pPr>
              <w:rPr>
                <w:sz w:val="2"/>
                <w:szCs w:val="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75"/>
              <w:ind w:left="111"/>
              <w:rPr>
                <w:sz w:val="24"/>
              </w:rPr>
            </w:pPr>
            <w:r>
              <w:rPr>
                <w:sz w:val="24"/>
              </w:rPr>
              <w:t>年支付企业兼职教师课酬</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75"/>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75"/>
              <w:ind w:left="98" w:right="69"/>
              <w:jc w:val="center"/>
              <w:rPr>
                <w:sz w:val="24"/>
              </w:rPr>
            </w:pPr>
            <w:r>
              <w:rPr>
                <w:sz w:val="24"/>
              </w:rPr>
              <w:t>2734000</w:t>
            </w:r>
          </w:p>
        </w:tc>
        <w:tc>
          <w:tcPr>
            <w:tcW w:w="1116" w:type="dxa"/>
            <w:tcBorders>
              <w:top w:val="single" w:sz="8" w:space="0" w:color="000000"/>
              <w:left w:val="single" w:sz="8" w:space="0" w:color="000000"/>
              <w:bottom w:val="single" w:sz="8" w:space="0" w:color="000000"/>
            </w:tcBorders>
          </w:tcPr>
          <w:p>
            <w:pPr>
              <w:pStyle w:val="TableParagraph"/>
              <w:spacing w:before="75"/>
              <w:ind w:right="107"/>
              <w:jc w:val="right"/>
              <w:rPr>
                <w:sz w:val="24"/>
              </w:rPr>
            </w:pPr>
            <w:r>
              <w:rPr>
                <w:sz w:val="24"/>
              </w:rPr>
              <w:t>3296000</w:t>
            </w:r>
          </w:p>
        </w:tc>
      </w:tr>
      <w:tr>
        <w:trPr>
          <w:trHeight w:val="462" w:hRule="atLeast"/>
        </w:trPr>
        <w:tc>
          <w:tcPr>
            <w:tcW w:w="851" w:type="dxa"/>
            <w:vMerge/>
            <w:tcBorders>
              <w:top w:val="nil"/>
              <w:right w:val="single" w:sz="8" w:space="0" w:color="000000"/>
            </w:tcBorders>
          </w:tcPr>
          <w:p>
            <w:pPr>
              <w:rPr>
                <w:sz w:val="2"/>
                <w:szCs w:val="2"/>
              </w:rPr>
            </w:pPr>
          </w:p>
        </w:tc>
        <w:tc>
          <w:tcPr>
            <w:tcW w:w="852" w:type="dxa"/>
            <w:vMerge/>
            <w:tcBorders>
              <w:top w:val="nil"/>
              <w:left w:val="single" w:sz="8" w:space="0" w:color="000000"/>
              <w:right w:val="single" w:sz="8" w:space="0" w:color="000000"/>
            </w:tcBorders>
          </w:tcPr>
          <w:p>
            <w:pPr>
              <w:rPr>
                <w:sz w:val="2"/>
                <w:szCs w:val="2"/>
              </w:rPr>
            </w:pPr>
          </w:p>
        </w:tc>
        <w:tc>
          <w:tcPr>
            <w:tcW w:w="425" w:type="dxa"/>
            <w:vMerge/>
            <w:tcBorders>
              <w:top w:val="nil"/>
              <w:left w:val="single" w:sz="8" w:space="0" w:color="000000"/>
              <w:right w:val="single" w:sz="8" w:space="0" w:color="000000"/>
            </w:tcBorders>
          </w:tcPr>
          <w:p>
            <w:pPr>
              <w:rPr>
                <w:sz w:val="2"/>
                <w:szCs w:val="2"/>
              </w:rPr>
            </w:pPr>
          </w:p>
        </w:tc>
        <w:tc>
          <w:tcPr>
            <w:tcW w:w="3832" w:type="dxa"/>
            <w:tcBorders>
              <w:top w:val="single" w:sz="8" w:space="0" w:color="000000"/>
              <w:left w:val="single" w:sz="8" w:space="0" w:color="000000"/>
              <w:right w:val="single" w:sz="8" w:space="0" w:color="000000"/>
            </w:tcBorders>
          </w:tcPr>
          <w:p>
            <w:pPr>
              <w:pStyle w:val="TableParagraph"/>
              <w:spacing w:before="74"/>
              <w:ind w:left="351"/>
              <w:rPr>
                <w:sz w:val="24"/>
              </w:rPr>
            </w:pPr>
            <w:r>
              <w:rPr>
                <w:sz w:val="24"/>
              </w:rPr>
              <w:t>其中：财政专项补贴</w:t>
            </w:r>
          </w:p>
        </w:tc>
        <w:tc>
          <w:tcPr>
            <w:tcW w:w="996" w:type="dxa"/>
            <w:tcBorders>
              <w:top w:val="single" w:sz="8" w:space="0" w:color="000000"/>
              <w:left w:val="single" w:sz="8" w:space="0" w:color="000000"/>
              <w:right w:val="single" w:sz="8" w:space="0" w:color="000000"/>
            </w:tcBorders>
          </w:tcPr>
          <w:p>
            <w:pPr>
              <w:pStyle w:val="TableParagraph"/>
              <w:spacing w:before="74"/>
              <w:ind w:left="26"/>
              <w:jc w:val="center"/>
              <w:rPr>
                <w:sz w:val="24"/>
              </w:rPr>
            </w:pPr>
            <w:r>
              <w:rPr>
                <w:sz w:val="24"/>
              </w:rPr>
              <w:t>元</w:t>
            </w:r>
          </w:p>
        </w:tc>
        <w:tc>
          <w:tcPr>
            <w:tcW w:w="1099" w:type="dxa"/>
            <w:tcBorders>
              <w:top w:val="single" w:sz="8" w:space="0" w:color="000000"/>
              <w:left w:val="single" w:sz="8" w:space="0" w:color="000000"/>
              <w:right w:val="single" w:sz="8" w:space="0" w:color="000000"/>
            </w:tcBorders>
          </w:tcPr>
          <w:p>
            <w:pPr>
              <w:pStyle w:val="TableParagraph"/>
              <w:spacing w:before="74"/>
              <w:ind w:left="29"/>
              <w:jc w:val="center"/>
              <w:rPr>
                <w:sz w:val="24"/>
              </w:rPr>
            </w:pPr>
            <w:r>
              <w:rPr>
                <w:sz w:val="24"/>
              </w:rPr>
              <w:t>0</w:t>
            </w:r>
          </w:p>
        </w:tc>
        <w:tc>
          <w:tcPr>
            <w:tcW w:w="1116" w:type="dxa"/>
            <w:tcBorders>
              <w:top w:val="single" w:sz="8" w:space="0" w:color="000000"/>
              <w:left w:val="single" w:sz="8" w:space="0" w:color="000000"/>
            </w:tcBorders>
          </w:tcPr>
          <w:p>
            <w:pPr>
              <w:pStyle w:val="TableParagraph"/>
              <w:spacing w:before="74"/>
              <w:ind w:right="107"/>
              <w:jc w:val="right"/>
              <w:rPr>
                <w:sz w:val="24"/>
              </w:rPr>
            </w:pPr>
            <w:r>
              <w:rPr>
                <w:sz w:val="24"/>
              </w:rPr>
              <w:t>2000000</w:t>
            </w:r>
          </w:p>
        </w:tc>
      </w:tr>
    </w:tbl>
    <w:p>
      <w:pPr>
        <w:pStyle w:val="BodyText"/>
        <w:rPr>
          <w:b/>
          <w:sz w:val="20"/>
        </w:rPr>
      </w:pPr>
    </w:p>
    <w:p>
      <w:pPr>
        <w:pStyle w:val="BodyText"/>
        <w:spacing w:before="8"/>
        <w:rPr>
          <w:b/>
          <w:sz w:val="16"/>
        </w:rPr>
      </w:pPr>
    </w:p>
    <w:p>
      <w:pPr>
        <w:pStyle w:val="Heading2"/>
        <w:numPr>
          <w:ilvl w:val="1"/>
          <w:numId w:val="5"/>
        </w:numPr>
        <w:tabs>
          <w:tab w:pos="2471" w:val="left" w:leader="none"/>
          <w:tab w:pos="2472" w:val="left" w:leader="none"/>
        </w:tabs>
        <w:spacing w:line="240" w:lineRule="auto" w:before="0" w:after="0"/>
        <w:ind w:left="2472" w:right="0" w:hanging="574"/>
        <w:jc w:val="left"/>
      </w:pPr>
      <w:bookmarkStart w:name="5.2  政策创新" w:id="210"/>
      <w:bookmarkEnd w:id="210"/>
      <w:r>
        <w:rPr>
          <w:b w:val="0"/>
        </w:rPr>
      </w:r>
      <w:bookmarkStart w:name="_bookmark76" w:id="211"/>
      <w:bookmarkEnd w:id="211"/>
      <w:r>
        <w:rPr>
          <w:b w:val="0"/>
        </w:rPr>
      </w:r>
      <w:bookmarkStart w:name="_bookmark76" w:id="212"/>
      <w:bookmarkEnd w:id="212"/>
      <w:r>
        <w:rPr/>
        <w:t>政策创新</w:t>
      </w:r>
    </w:p>
    <w:p>
      <w:pPr>
        <w:pStyle w:val="BodyText"/>
        <w:spacing w:before="9"/>
        <w:rPr>
          <w:rFonts w:ascii="黑体"/>
          <w:b/>
        </w:rPr>
      </w:pPr>
    </w:p>
    <w:p>
      <w:pPr>
        <w:pStyle w:val="Heading2"/>
        <w:numPr>
          <w:ilvl w:val="2"/>
          <w:numId w:val="5"/>
        </w:numPr>
        <w:tabs>
          <w:tab w:pos="2743" w:val="left" w:leader="none"/>
          <w:tab w:pos="2744" w:val="left" w:leader="none"/>
        </w:tabs>
        <w:spacing w:line="240" w:lineRule="auto" w:before="0" w:after="0"/>
        <w:ind w:left="2743" w:right="0" w:hanging="846"/>
        <w:jc w:val="left"/>
      </w:pPr>
      <w:bookmarkStart w:name="5.2.1  产业大师进校园" w:id="213"/>
      <w:bookmarkEnd w:id="213"/>
      <w:r>
        <w:rPr>
          <w:b w:val="0"/>
        </w:rPr>
      </w:r>
      <w:bookmarkStart w:name="_bookmark77" w:id="214"/>
      <w:bookmarkEnd w:id="214"/>
      <w:r>
        <w:rPr>
          <w:b w:val="0"/>
        </w:rPr>
      </w:r>
      <w:bookmarkStart w:name="_bookmark77" w:id="215"/>
      <w:bookmarkEnd w:id="215"/>
      <w:r>
        <w:rPr/>
        <w:t>产业大师进校园</w:t>
      </w:r>
    </w:p>
    <w:p>
      <w:pPr>
        <w:pStyle w:val="BodyText"/>
        <w:spacing w:before="7"/>
        <w:rPr>
          <w:rFonts w:ascii="黑体"/>
          <w:b/>
          <w:sz w:val="18"/>
        </w:rPr>
      </w:pPr>
    </w:p>
    <w:p>
      <w:pPr>
        <w:pStyle w:val="BodyText"/>
        <w:spacing w:line="364" w:lineRule="auto"/>
        <w:ind w:left="1418" w:right="1365" w:firstLine="480"/>
        <w:jc w:val="both"/>
      </w:pPr>
      <w:r>
        <w:rPr>
          <w:spacing w:val="-4"/>
        </w:rPr>
        <w:t>我院为促进校企合作进一步深化，大胆探索，按照“校企双元、学校为主和社会参</w:t>
      </w:r>
      <w:r>
        <w:rPr>
          <w:spacing w:val="-8"/>
        </w:rPr>
        <w:t>与”的技术技能型人才培养理念，坚持开放式办学。探索了聘请产业教授则为桥梁，将</w:t>
      </w:r>
      <w:r>
        <w:rPr>
          <w:spacing w:val="-11"/>
        </w:rPr>
        <w:t>双方的诉求点结合在一起，解决校企合作难题。我院聘请了以中国科学院福建物质结构</w:t>
      </w:r>
      <w:r>
        <w:rPr>
          <w:spacing w:val="-14"/>
        </w:rPr>
        <w:t>研究所结构化学国家重点实验室副主任张健教授等行业、企业、科研院所人员，担任专</w:t>
      </w:r>
      <w:r>
        <w:rPr>
          <w:spacing w:val="-15"/>
        </w:rPr>
        <w:t>业客座教授或兼职教师，建立了企业参与教学、专家走进课堂的长效机制。截止目前，</w:t>
      </w:r>
    </w:p>
    <w:p>
      <w:pPr>
        <w:spacing w:after="0" w:line="364" w:lineRule="auto"/>
        <w:jc w:val="both"/>
        <w:sectPr>
          <w:pgSz w:w="11910" w:h="16840"/>
          <w:pgMar w:header="780" w:footer="1235" w:top="1260" w:bottom="1440" w:left="0" w:right="0"/>
        </w:sectPr>
      </w:pPr>
    </w:p>
    <w:p>
      <w:pPr>
        <w:pStyle w:val="BodyText"/>
        <w:spacing w:line="364" w:lineRule="auto" w:before="141"/>
        <w:ind w:left="1418" w:right="1365"/>
        <w:jc w:val="right"/>
      </w:pPr>
      <w:r>
        <w:rPr>
          <w:spacing w:val="-3"/>
        </w:rPr>
        <w:t>学院所有专业核心课程中都全面推行企业专家下课堂，让企业参与到我们的教学中，让</w:t>
      </w:r>
      <w:r>
        <w:rPr>
          <w:spacing w:val="-7"/>
        </w:rPr>
        <w:t>专家走进我们的课堂，发挥企业与学校的各自优势，突破了传统的课程教学内容与实际</w:t>
      </w:r>
      <w:r>
        <w:rPr>
          <w:spacing w:val="-10"/>
        </w:rPr>
        <w:t>生产脱节的问题，把基础理论与生产实践案例结合起来，做到了理论与实践相结合，有</w:t>
      </w:r>
      <w:r>
        <w:rPr>
          <w:spacing w:val="-13"/>
        </w:rPr>
        <w:t>效地激发了学生的学习热情，实现了课程内容与行企业技术发展动态的紧密对接和实时更新。“企业专家进课堂”落实了我院提出的教师能力提升“五个一工程”中有关专任</w:t>
      </w:r>
      <w:r>
        <w:rPr>
          <w:spacing w:val="-15"/>
        </w:rPr>
        <w:t>教师每人联系一家企业的要求，成为了专任教师了解行业发展趋势和企业最新技术发展</w:t>
      </w:r>
      <w:r>
        <w:rPr>
          <w:spacing w:val="-2"/>
        </w:rPr>
        <w:t>动态的窗口，与企业专家联合进行教科研合作项目的纽带，促进了教师职业能力提升。</w:t>
      </w:r>
      <w:r>
        <w:rPr>
          <w:spacing w:val="-6"/>
        </w:rPr>
        <w:t>近年来，学院先后特聘国科学院福建物质结构研究所张健研究员、美国优创公司董</w:t>
      </w:r>
    </w:p>
    <w:p>
      <w:pPr>
        <w:pStyle w:val="BodyText"/>
        <w:spacing w:line="303" w:lineRule="exact"/>
        <w:ind w:right="1417"/>
        <w:jc w:val="right"/>
      </w:pPr>
      <w:r>
        <w:rPr>
          <w:spacing w:val="-5"/>
        </w:rPr>
        <w:t>事长谭飞博士为客座教授，聘请刘卫东、罗和安等行业知名专家 </w:t>
      </w:r>
      <w:r>
        <w:rPr/>
        <w:t>5</w:t>
      </w:r>
      <w:r>
        <w:rPr>
          <w:spacing w:val="-60"/>
        </w:rPr>
        <w:t> </w:t>
      </w:r>
      <w:hyperlink r:id="rId72">
        <w:r>
          <w:rPr>
            <w:spacing w:val="-4"/>
          </w:rPr>
          <w:t>人及邹浪、李春等技</w:t>
        </w:r>
      </w:hyperlink>
    </w:p>
    <w:p>
      <w:pPr>
        <w:pStyle w:val="BodyText"/>
        <w:spacing w:before="160"/>
        <w:ind w:left="1418"/>
      </w:pPr>
      <w:r>
        <w:rPr>
          <w:spacing w:val="-14"/>
        </w:rPr>
        <w:t>能大师 </w:t>
      </w:r>
      <w:r>
        <w:rPr/>
        <w:t>6</w:t>
      </w:r>
      <w:r>
        <w:rPr>
          <w:spacing w:val="-10"/>
        </w:rPr>
        <w:t> 人担任专业群建设的领头人。引进企业骨干技术人员 </w:t>
      </w:r>
      <w:r>
        <w:rPr/>
        <w:t>12</w:t>
      </w:r>
      <w:r>
        <w:rPr>
          <w:spacing w:val="-17"/>
        </w:rPr>
        <w:t> 人、博士 </w:t>
      </w:r>
      <w:r>
        <w:rPr/>
        <w:t>9</w:t>
      </w:r>
      <w:r>
        <w:rPr>
          <w:spacing w:val="-12"/>
        </w:rPr>
        <w:t> 人，聘外</w:t>
      </w:r>
    </w:p>
    <w:p>
      <w:pPr>
        <w:pStyle w:val="BodyText"/>
        <w:spacing w:line="364" w:lineRule="auto" w:before="158"/>
        <w:ind w:left="1418" w:right="1416"/>
      </w:pPr>
      <w:r>
        <w:rPr>
          <w:spacing w:val="-15"/>
        </w:rPr>
        <w:t>籍教师 </w:t>
      </w:r>
      <w:r>
        <w:rPr/>
        <w:t>2 人，建立了</w:t>
      </w:r>
      <w:hyperlink r:id="rId73">
        <w:r>
          <w:rPr>
            <w:spacing w:val="-5"/>
          </w:rPr>
          <w:t>名师和大师、教授与博士工作室 </w:t>
        </w:r>
      </w:hyperlink>
      <w:r>
        <w:rPr/>
        <w:t>10</w:t>
      </w:r>
      <w:r>
        <w:rPr>
          <w:spacing w:val="-17"/>
        </w:rPr>
        <w:t> 个；建立了 </w:t>
      </w:r>
      <w:r>
        <w:rPr/>
        <w:t>500</w:t>
      </w:r>
      <w:r>
        <w:rPr>
          <w:spacing w:val="-11"/>
        </w:rPr>
        <w:t> 余人的兼职教</w:t>
      </w:r>
      <w:r>
        <w:rPr>
          <w:spacing w:val="-3"/>
        </w:rPr>
        <w:t>师队伍，外聘一线技术专家和能工巧匠承担专业课时超过 </w:t>
      </w:r>
      <w:r>
        <w:rPr/>
        <w:t>50%。</w:t>
      </w:r>
    </w:p>
    <w:p>
      <w:pPr>
        <w:pStyle w:val="BodyText"/>
        <w:spacing w:before="10"/>
        <w:rPr>
          <w:sz w:val="8"/>
        </w:rPr>
      </w:pPr>
      <w:r>
        <w:rPr/>
        <w:drawing>
          <wp:anchor distT="0" distB="0" distL="0" distR="0" allowOverlap="1" layoutInCell="1" locked="0" behindDoc="0" simplePos="0" relativeHeight="26">
            <wp:simplePos x="0" y="0"/>
            <wp:positionH relativeFrom="page">
              <wp:posOffset>1731264</wp:posOffset>
            </wp:positionH>
            <wp:positionV relativeFrom="paragraph">
              <wp:posOffset>96520</wp:posOffset>
            </wp:positionV>
            <wp:extent cx="4106882" cy="2401442"/>
            <wp:effectExtent l="0" t="0" r="0" b="0"/>
            <wp:wrapTopAndBottom/>
            <wp:docPr id="133" name="image58.jpeg"/>
            <wp:cNvGraphicFramePr>
              <a:graphicFrameLocks noChangeAspect="1"/>
            </wp:cNvGraphicFramePr>
            <a:graphic>
              <a:graphicData uri="http://schemas.openxmlformats.org/drawingml/2006/picture">
                <pic:pic>
                  <pic:nvPicPr>
                    <pic:cNvPr id="134" name="image58.jpeg"/>
                    <pic:cNvPicPr/>
                  </pic:nvPicPr>
                  <pic:blipFill>
                    <a:blip r:embed="rId74" cstate="print"/>
                    <a:stretch>
                      <a:fillRect/>
                    </a:stretch>
                  </pic:blipFill>
                  <pic:spPr>
                    <a:xfrm>
                      <a:off x="0" y="0"/>
                      <a:ext cx="4106882" cy="2401442"/>
                    </a:xfrm>
                    <a:prstGeom prst="rect">
                      <a:avLst/>
                    </a:prstGeom>
                  </pic:spPr>
                </pic:pic>
              </a:graphicData>
            </a:graphic>
          </wp:anchor>
        </w:drawing>
      </w:r>
    </w:p>
    <w:p>
      <w:pPr>
        <w:pStyle w:val="BodyText"/>
        <w:spacing w:before="5"/>
        <w:rPr>
          <w:sz w:val="20"/>
        </w:rPr>
      </w:pPr>
    </w:p>
    <w:p>
      <w:pPr>
        <w:spacing w:before="0"/>
        <w:ind w:left="2284" w:right="0" w:firstLine="0"/>
        <w:jc w:val="both"/>
        <w:rPr>
          <w:b/>
          <w:sz w:val="21"/>
        </w:rPr>
      </w:pPr>
      <w:r>
        <w:rPr>
          <w:b/>
          <w:sz w:val="21"/>
        </w:rPr>
        <w:t>图 5-1 中国科学院福建物质结构研究所张健研究员被聘我院“客座教授”仪式</w:t>
      </w:r>
    </w:p>
    <w:p>
      <w:pPr>
        <w:pStyle w:val="BodyText"/>
        <w:spacing w:line="364" w:lineRule="auto" w:before="174"/>
        <w:ind w:left="1418" w:right="1417" w:firstLine="480"/>
        <w:jc w:val="both"/>
      </w:pPr>
      <w:r>
        <w:rPr/>
        <w:t>张健，研究员，博士生导师。2011</w:t>
      </w:r>
      <w:r>
        <w:rPr>
          <w:spacing w:val="-6"/>
        </w:rPr>
        <w:t> 年获中国化学会青年化学奖；</w:t>
      </w:r>
      <w:r>
        <w:rPr/>
        <w:t>2012</w:t>
      </w:r>
      <w:r>
        <w:rPr>
          <w:spacing w:val="-7"/>
        </w:rPr>
        <w:t> 年依次入选</w:t>
      </w:r>
      <w:r>
        <w:rPr>
          <w:spacing w:val="-20"/>
        </w:rPr>
        <w:t>福建省高层次创业创新人才、中科院上海分院系统杰出青年科技创新人才、国家首批“万</w:t>
      </w:r>
      <w:r>
        <w:rPr>
          <w:spacing w:val="-15"/>
        </w:rPr>
        <w:t>人计划-青年拔尖人才”；</w:t>
      </w:r>
      <w:r>
        <w:rPr/>
        <w:t>2014</w:t>
      </w:r>
      <w:r>
        <w:rPr>
          <w:spacing w:val="-13"/>
        </w:rPr>
        <w:t> 年获国家杰出青年基金资助。已在系列国际知名期刊上发</w:t>
      </w:r>
      <w:r>
        <w:rPr/>
        <w:t>表第一/</w:t>
      </w:r>
      <w:r>
        <w:rPr>
          <w:spacing w:val="-9"/>
        </w:rPr>
        <w:t>通讯作者论文 </w:t>
      </w:r>
      <w:r>
        <w:rPr/>
        <w:t>100</w:t>
      </w:r>
      <w:r>
        <w:rPr>
          <w:spacing w:val="-18"/>
        </w:rPr>
        <w:t> 多篇，其中 </w:t>
      </w:r>
      <w:r>
        <w:rPr/>
        <w:t>40</w:t>
      </w:r>
      <w:r>
        <w:rPr>
          <w:spacing w:val="-9"/>
        </w:rPr>
        <w:t> 多篇发表在 </w:t>
      </w:r>
      <w:r>
        <w:rPr/>
        <w:t>J.</w:t>
      </w:r>
      <w:r>
        <w:rPr>
          <w:spacing w:val="-58"/>
        </w:rPr>
        <w:t> </w:t>
      </w:r>
      <w:r>
        <w:rPr/>
        <w:t>Am.</w:t>
      </w:r>
      <w:r>
        <w:rPr>
          <w:spacing w:val="-59"/>
        </w:rPr>
        <w:t> </w:t>
      </w:r>
      <w:r>
        <w:rPr/>
        <w:t>Chem.</w:t>
      </w:r>
      <w:r>
        <w:rPr>
          <w:spacing w:val="-58"/>
        </w:rPr>
        <w:t> </w:t>
      </w:r>
      <w:r>
        <w:rPr/>
        <w:t>Soc.,</w:t>
      </w:r>
      <w:r>
        <w:rPr>
          <w:spacing w:val="-58"/>
        </w:rPr>
        <w:t> </w:t>
      </w:r>
      <w:r>
        <w:rPr/>
        <w:t>Angew.</w:t>
      </w:r>
      <w:r>
        <w:rPr>
          <w:spacing w:val="-58"/>
        </w:rPr>
        <w:t> </w:t>
      </w:r>
      <w:r>
        <w:rPr>
          <w:spacing w:val="-4"/>
        </w:rPr>
        <w:t>Chem. </w:t>
      </w:r>
      <w:r>
        <w:rPr/>
        <w:t>Int.</w:t>
      </w:r>
      <w:r>
        <w:rPr>
          <w:spacing w:val="-51"/>
        </w:rPr>
        <w:t> </w:t>
      </w:r>
      <w:r>
        <w:rPr/>
        <w:t>Ed.</w:t>
      </w:r>
      <w:r>
        <w:rPr>
          <w:spacing w:val="-8"/>
        </w:rPr>
        <w:t>等影响因子大于 </w:t>
      </w:r>
      <w:r>
        <w:rPr/>
        <w:t>6.0</w:t>
      </w:r>
      <w:r>
        <w:rPr>
          <w:spacing w:val="-9"/>
        </w:rPr>
        <w:t> 的期刊上，多篇论文被选为期刊封面或热点论文，论文被</w:t>
      </w:r>
      <w:r>
        <w:rPr>
          <w:spacing w:val="-7"/>
        </w:rPr>
        <w:t>他人正面引用超过 </w:t>
      </w:r>
      <w:r>
        <w:rPr/>
        <w:t>4000</w:t>
      </w:r>
      <w:r>
        <w:rPr>
          <w:spacing w:val="-20"/>
        </w:rPr>
        <w:t> 次。</w:t>
      </w:r>
    </w:p>
    <w:p>
      <w:pPr>
        <w:spacing w:after="0" w:line="364" w:lineRule="auto"/>
        <w:jc w:val="both"/>
        <w:sectPr>
          <w:pgSz w:w="11910" w:h="16840"/>
          <w:pgMar w:header="780" w:footer="1235" w:top="1260" w:bottom="1440" w:left="0" w:right="0"/>
        </w:sectPr>
      </w:pPr>
    </w:p>
    <w:p>
      <w:pPr>
        <w:pStyle w:val="Heading2"/>
        <w:numPr>
          <w:ilvl w:val="2"/>
          <w:numId w:val="5"/>
        </w:numPr>
        <w:tabs>
          <w:tab w:pos="2743" w:val="left" w:leader="none"/>
          <w:tab w:pos="2744" w:val="left" w:leader="none"/>
        </w:tabs>
        <w:spacing w:line="240" w:lineRule="auto" w:before="141" w:after="0"/>
        <w:ind w:left="2743" w:right="0" w:hanging="846"/>
        <w:jc w:val="left"/>
      </w:pPr>
      <w:bookmarkStart w:name="5.2.2  创新校企合作机制" w:id="216"/>
      <w:bookmarkEnd w:id="216"/>
      <w:r>
        <w:rPr>
          <w:b w:val="0"/>
        </w:rPr>
      </w:r>
      <w:bookmarkStart w:name="_bookmark78" w:id="217"/>
      <w:bookmarkEnd w:id="217"/>
      <w:r>
        <w:rPr>
          <w:b w:val="0"/>
        </w:rPr>
      </w:r>
      <w:bookmarkStart w:name="_bookmark78" w:id="218"/>
      <w:bookmarkEnd w:id="218"/>
      <w:r>
        <w:rPr/>
        <w:t>创新校企合作机制</w:t>
      </w:r>
    </w:p>
    <w:p>
      <w:pPr>
        <w:pStyle w:val="BodyText"/>
        <w:spacing w:before="6"/>
        <w:rPr>
          <w:rFonts w:ascii="黑体"/>
          <w:b/>
          <w:sz w:val="18"/>
        </w:rPr>
      </w:pPr>
    </w:p>
    <w:p>
      <w:pPr>
        <w:pStyle w:val="BodyText"/>
        <w:spacing w:line="364" w:lineRule="auto"/>
        <w:ind w:left="1418" w:right="1413" w:firstLine="480"/>
        <w:jc w:val="both"/>
      </w:pPr>
      <w:r>
        <w:rPr>
          <w:spacing w:val="-9"/>
        </w:rPr>
        <w:t>学院秉承“根植化工、合作育人、创新驱动、铸造品牌”办学理念，坚持紧密对接</w:t>
      </w:r>
      <w:r>
        <w:rPr>
          <w:spacing w:val="-5"/>
        </w:rPr>
        <w:t>高端专用化学品和药品生产，在办学中搭建校企合作、协同创新平台，提高了学校教学</w:t>
      </w:r>
      <w:r>
        <w:rPr/>
        <w:t>育人质量，培养了大批具有创新精神的高素质技术技能人才。</w:t>
      </w:r>
    </w:p>
    <w:p>
      <w:pPr>
        <w:pStyle w:val="BodyText"/>
        <w:spacing w:line="364" w:lineRule="auto"/>
        <w:ind w:left="1418" w:right="1417" w:firstLine="480"/>
        <w:jc w:val="both"/>
      </w:pPr>
      <w:r>
        <w:rPr>
          <w:spacing w:val="-6"/>
        </w:rPr>
        <w:t>搭建技术合作平台，提升教师应用技术研发与教学能力。学院与株洲兴隆新材股份</w:t>
      </w:r>
      <w:r>
        <w:rPr>
          <w:spacing w:val="3"/>
        </w:rPr>
        <w:t>有限公司共建了由国家发改委等部门认定的国家级无机化工企业技术中心；与省科技</w:t>
      </w:r>
      <w:r>
        <w:rPr>
          <w:spacing w:val="-8"/>
        </w:rPr>
        <w:t>厅、市科技局共建了科技创新服务平台，为教师开展应用技术研发与服务搭建了良好平台。教师将科研项目与教学紧密结合，丰富课程知识、创新实训内容，激活课堂，提升</w:t>
      </w:r>
      <w:r>
        <w:rPr/>
        <w:t>了教学质量。</w:t>
      </w:r>
    </w:p>
    <w:p>
      <w:pPr>
        <w:pStyle w:val="BodyText"/>
        <w:spacing w:line="364" w:lineRule="auto"/>
        <w:ind w:left="1418" w:right="1417" w:firstLine="480"/>
        <w:jc w:val="both"/>
      </w:pPr>
      <w:r>
        <w:rPr>
          <w:spacing w:val="-5"/>
        </w:rPr>
        <w:t>创新产教融合基地建设模式，提高科研成果转化和教学实效。探索了由学校提供场</w:t>
      </w:r>
      <w:r>
        <w:rPr>
          <w:spacing w:val="-8"/>
        </w:rPr>
        <w:t>地，由企业提供设备、资金或技术的实训基地建设模式，与瑞阳化工等企业合作共建生</w:t>
      </w:r>
      <w:r>
        <w:rPr>
          <w:spacing w:val="-6"/>
        </w:rPr>
        <w:t>产性实训基地，实现了以产品为载体，以项目教学为主线的校企合作培养模式。提高了</w:t>
      </w:r>
      <w:r>
        <w:rPr/>
        <w:t>教师科研成果转化能力，增强了学生学习兴趣。</w:t>
      </w:r>
    </w:p>
    <w:p>
      <w:pPr>
        <w:pStyle w:val="BodyText"/>
        <w:ind w:left="2479"/>
        <w:rPr>
          <w:sz w:val="20"/>
        </w:rPr>
      </w:pPr>
      <w:r>
        <w:rPr>
          <w:sz w:val="20"/>
        </w:rPr>
        <w:drawing>
          <wp:inline distT="0" distB="0" distL="0" distR="0">
            <wp:extent cx="4413059" cy="2725578"/>
            <wp:effectExtent l="0" t="0" r="0" b="0"/>
            <wp:docPr id="135" name="image59.png"/>
            <wp:cNvGraphicFramePr>
              <a:graphicFrameLocks noChangeAspect="1"/>
            </wp:cNvGraphicFramePr>
            <a:graphic>
              <a:graphicData uri="http://schemas.openxmlformats.org/drawingml/2006/picture">
                <pic:pic>
                  <pic:nvPicPr>
                    <pic:cNvPr id="136" name="image59.png"/>
                    <pic:cNvPicPr/>
                  </pic:nvPicPr>
                  <pic:blipFill>
                    <a:blip r:embed="rId75" cstate="print"/>
                    <a:stretch>
                      <a:fillRect/>
                    </a:stretch>
                  </pic:blipFill>
                  <pic:spPr>
                    <a:xfrm>
                      <a:off x="0" y="0"/>
                      <a:ext cx="4413059" cy="2725578"/>
                    </a:xfrm>
                    <a:prstGeom prst="rect">
                      <a:avLst/>
                    </a:prstGeom>
                  </pic:spPr>
                </pic:pic>
              </a:graphicData>
            </a:graphic>
          </wp:inline>
        </w:drawing>
      </w:r>
      <w:r>
        <w:rPr>
          <w:sz w:val="20"/>
        </w:rPr>
      </w:r>
    </w:p>
    <w:p>
      <w:pPr>
        <w:tabs>
          <w:tab w:pos="789" w:val="left" w:leader="none"/>
        </w:tabs>
        <w:spacing w:before="165"/>
        <w:ind w:left="0" w:right="14" w:firstLine="0"/>
        <w:jc w:val="center"/>
        <w:rPr>
          <w:b/>
          <w:sz w:val="21"/>
        </w:rPr>
      </w:pPr>
      <w:r>
        <w:rPr>
          <w:b/>
          <w:sz w:val="21"/>
        </w:rPr>
        <w:t>图</w:t>
      </w:r>
      <w:r>
        <w:rPr>
          <w:b/>
          <w:spacing w:val="-55"/>
          <w:sz w:val="21"/>
        </w:rPr>
        <w:t> </w:t>
      </w:r>
      <w:r>
        <w:rPr>
          <w:b/>
          <w:sz w:val="21"/>
        </w:rPr>
        <w:t>5-2</w:t>
        <w:tab/>
        <w:t>学生在啤酒车间完成啤酒配方与工艺优化、质量检测项目学习</w:t>
      </w:r>
    </w:p>
    <w:p>
      <w:pPr>
        <w:spacing w:after="0"/>
        <w:jc w:val="center"/>
        <w:rPr>
          <w:sz w:val="21"/>
        </w:rPr>
        <w:sectPr>
          <w:pgSz w:w="11910" w:h="16840"/>
          <w:pgMar w:header="780" w:footer="1235" w:top="1260" w:bottom="1440" w:left="0" w:right="0"/>
        </w:sectPr>
      </w:pPr>
    </w:p>
    <w:p>
      <w:pPr>
        <w:pStyle w:val="BodyText"/>
        <w:spacing w:before="11" w:after="1"/>
        <w:rPr>
          <w:b/>
          <w:sz w:val="10"/>
        </w:rPr>
      </w:pPr>
    </w:p>
    <w:p>
      <w:pPr>
        <w:pStyle w:val="BodyText"/>
        <w:ind w:left="2450"/>
        <w:rPr>
          <w:sz w:val="20"/>
        </w:rPr>
      </w:pPr>
      <w:r>
        <w:rPr>
          <w:sz w:val="20"/>
        </w:rPr>
        <w:drawing>
          <wp:inline distT="0" distB="0" distL="0" distR="0">
            <wp:extent cx="4485871" cy="2564892"/>
            <wp:effectExtent l="0" t="0" r="0" b="0"/>
            <wp:docPr id="137" name="image60.jpeg"/>
            <wp:cNvGraphicFramePr>
              <a:graphicFrameLocks noChangeAspect="1"/>
            </wp:cNvGraphicFramePr>
            <a:graphic>
              <a:graphicData uri="http://schemas.openxmlformats.org/drawingml/2006/picture">
                <pic:pic>
                  <pic:nvPicPr>
                    <pic:cNvPr id="138" name="image60.jpeg"/>
                    <pic:cNvPicPr/>
                  </pic:nvPicPr>
                  <pic:blipFill>
                    <a:blip r:embed="rId76" cstate="print"/>
                    <a:stretch>
                      <a:fillRect/>
                    </a:stretch>
                  </pic:blipFill>
                  <pic:spPr>
                    <a:xfrm>
                      <a:off x="0" y="0"/>
                      <a:ext cx="4485871" cy="2564892"/>
                    </a:xfrm>
                    <a:prstGeom prst="rect">
                      <a:avLst/>
                    </a:prstGeom>
                  </pic:spPr>
                </pic:pic>
              </a:graphicData>
            </a:graphic>
          </wp:inline>
        </w:drawing>
      </w:r>
      <w:r>
        <w:rPr>
          <w:sz w:val="20"/>
        </w:rPr>
      </w:r>
    </w:p>
    <w:p>
      <w:pPr>
        <w:pStyle w:val="BodyText"/>
        <w:spacing w:before="6"/>
        <w:rPr>
          <w:b/>
          <w:sz w:val="5"/>
        </w:rPr>
      </w:pPr>
    </w:p>
    <w:p>
      <w:pPr>
        <w:tabs>
          <w:tab w:pos="789" w:val="left" w:leader="none"/>
        </w:tabs>
        <w:spacing w:before="70"/>
        <w:ind w:left="0" w:right="23" w:firstLine="0"/>
        <w:jc w:val="center"/>
        <w:rPr>
          <w:b/>
          <w:sz w:val="21"/>
        </w:rPr>
      </w:pPr>
      <w:r>
        <w:rPr/>
        <w:drawing>
          <wp:anchor distT="0" distB="0" distL="0" distR="0" allowOverlap="1" layoutInCell="1" locked="0" behindDoc="0" simplePos="0" relativeHeight="27">
            <wp:simplePos x="0" y="0"/>
            <wp:positionH relativeFrom="page">
              <wp:posOffset>1688592</wp:posOffset>
            </wp:positionH>
            <wp:positionV relativeFrom="paragraph">
              <wp:posOffset>230505</wp:posOffset>
            </wp:positionV>
            <wp:extent cx="4220466" cy="2384679"/>
            <wp:effectExtent l="0" t="0" r="0" b="0"/>
            <wp:wrapTopAndBottom/>
            <wp:docPr id="139" name="image61.jpeg"/>
            <wp:cNvGraphicFramePr>
              <a:graphicFrameLocks noChangeAspect="1"/>
            </wp:cNvGraphicFramePr>
            <a:graphic>
              <a:graphicData uri="http://schemas.openxmlformats.org/drawingml/2006/picture">
                <pic:pic>
                  <pic:nvPicPr>
                    <pic:cNvPr id="140" name="image61.jpeg"/>
                    <pic:cNvPicPr/>
                  </pic:nvPicPr>
                  <pic:blipFill>
                    <a:blip r:embed="rId77" cstate="print"/>
                    <a:stretch>
                      <a:fillRect/>
                    </a:stretch>
                  </pic:blipFill>
                  <pic:spPr>
                    <a:xfrm>
                      <a:off x="0" y="0"/>
                      <a:ext cx="4220466" cy="2384679"/>
                    </a:xfrm>
                    <a:prstGeom prst="rect">
                      <a:avLst/>
                    </a:prstGeom>
                  </pic:spPr>
                </pic:pic>
              </a:graphicData>
            </a:graphic>
          </wp:anchor>
        </w:drawing>
      </w:r>
      <w:r>
        <w:rPr>
          <w:b/>
          <w:sz w:val="21"/>
        </w:rPr>
        <w:t>图</w:t>
      </w:r>
      <w:r>
        <w:rPr>
          <w:b/>
          <w:spacing w:val="-55"/>
          <w:sz w:val="21"/>
        </w:rPr>
        <w:t> </w:t>
      </w:r>
      <w:r>
        <w:rPr>
          <w:b/>
          <w:sz w:val="21"/>
        </w:rPr>
        <w:t>5-3</w:t>
        <w:tab/>
        <w:t>学生在化妆品车间参与产品生产过程</w:t>
      </w:r>
    </w:p>
    <w:p>
      <w:pPr>
        <w:tabs>
          <w:tab w:pos="791" w:val="left" w:leader="none"/>
        </w:tabs>
        <w:spacing w:before="113"/>
        <w:ind w:left="0" w:right="16" w:firstLine="0"/>
        <w:jc w:val="center"/>
        <w:rPr>
          <w:b/>
          <w:sz w:val="21"/>
        </w:rPr>
      </w:pPr>
      <w:r>
        <w:rPr>
          <w:b/>
          <w:sz w:val="21"/>
        </w:rPr>
        <w:t>图</w:t>
      </w:r>
      <w:r>
        <w:rPr>
          <w:b/>
          <w:spacing w:val="-53"/>
          <w:sz w:val="21"/>
        </w:rPr>
        <w:t> </w:t>
      </w:r>
      <w:r>
        <w:rPr>
          <w:b/>
          <w:sz w:val="21"/>
        </w:rPr>
        <w:t>5-4</w:t>
        <w:tab/>
        <w:t>学生在</w:t>
      </w:r>
      <w:r>
        <w:rPr>
          <w:b/>
          <w:spacing w:val="-54"/>
          <w:sz w:val="21"/>
        </w:rPr>
        <w:t> </w:t>
      </w:r>
      <w:r>
        <w:rPr>
          <w:b/>
          <w:sz w:val="21"/>
        </w:rPr>
        <w:t>GMP</w:t>
      </w:r>
      <w:r>
        <w:rPr>
          <w:b/>
          <w:spacing w:val="-55"/>
          <w:sz w:val="21"/>
        </w:rPr>
        <w:t> </w:t>
      </w:r>
      <w:r>
        <w:rPr>
          <w:b/>
          <w:sz w:val="21"/>
        </w:rPr>
        <w:t>车间完成颗粒剂、片剂、胶囊生产与质检项目</w:t>
      </w:r>
    </w:p>
    <w:p>
      <w:pPr>
        <w:pStyle w:val="Heading2"/>
        <w:numPr>
          <w:ilvl w:val="2"/>
          <w:numId w:val="5"/>
        </w:numPr>
        <w:tabs>
          <w:tab w:pos="2743" w:val="left" w:leader="none"/>
          <w:tab w:pos="2744" w:val="left" w:leader="none"/>
        </w:tabs>
        <w:spacing w:line="240" w:lineRule="auto" w:before="101" w:after="0"/>
        <w:ind w:left="2743" w:right="0" w:hanging="846"/>
        <w:jc w:val="left"/>
      </w:pPr>
      <w:bookmarkStart w:name="5.2.3  用好学院办学自主权" w:id="219"/>
      <w:bookmarkEnd w:id="219"/>
      <w:r>
        <w:rPr>
          <w:b w:val="0"/>
        </w:rPr>
      </w:r>
      <w:bookmarkStart w:name="_bookmark79" w:id="220"/>
      <w:bookmarkEnd w:id="220"/>
      <w:r>
        <w:rPr>
          <w:b w:val="0"/>
        </w:rPr>
      </w:r>
      <w:bookmarkStart w:name="_bookmark79" w:id="221"/>
      <w:bookmarkEnd w:id="221"/>
      <w:r>
        <w:rPr/>
        <w:t>用好学院办学自主权</w:t>
      </w:r>
    </w:p>
    <w:p>
      <w:pPr>
        <w:pStyle w:val="BodyText"/>
        <w:spacing w:before="7"/>
        <w:rPr>
          <w:rFonts w:ascii="黑体"/>
          <w:b/>
          <w:sz w:val="18"/>
        </w:rPr>
      </w:pPr>
    </w:p>
    <w:p>
      <w:pPr>
        <w:pStyle w:val="BodyText"/>
        <w:spacing w:line="376" w:lineRule="auto"/>
        <w:ind w:left="1418" w:right="1417" w:firstLine="480"/>
        <w:jc w:val="both"/>
      </w:pPr>
      <w:r>
        <w:rPr>
          <w:spacing w:val="-5"/>
        </w:rPr>
        <w:t>学院以章程建设为基础，通过建立健全自主管理、民主监督、社会参与的学校治理</w:t>
      </w:r>
      <w:r>
        <w:rPr>
          <w:spacing w:val="-8"/>
        </w:rPr>
        <w:t>结构，改革内部管理架构，完善内部制度体系，建立与专业群建设相匹配的校院两级管</w:t>
      </w:r>
      <w:r>
        <w:rPr>
          <w:spacing w:val="-6"/>
        </w:rPr>
        <w:t>理架构等措施，学院现代大学治理结构更加完善，标准制度体系更加健全，关键领域改</w:t>
      </w:r>
      <w:r>
        <w:rPr/>
        <w:t>革成效更加突出。</w:t>
      </w:r>
    </w:p>
    <w:p>
      <w:pPr>
        <w:pStyle w:val="BodyText"/>
        <w:spacing w:line="376" w:lineRule="auto"/>
        <w:ind w:left="1418" w:right="1417" w:firstLine="480"/>
        <w:jc w:val="both"/>
      </w:pPr>
      <w:r>
        <w:rPr>
          <w:spacing w:val="-5"/>
        </w:rPr>
        <w:t>基于产权制度和利益共享，依托化工学院、自动化与信息工程学院、商学院与广东</w:t>
      </w:r>
      <w:r>
        <w:rPr/>
        <w:t>梦采集团、华为集团、步步高集团共建“化妆品学院”、“华为ICT学院”、“步步高</w:t>
      </w:r>
      <w:r>
        <w:rPr>
          <w:spacing w:val="-8"/>
        </w:rPr>
        <w:t>商学院”。学院和企业共同投资建设学生实训及教师科研公用平台，共同负责专业人才</w:t>
      </w:r>
      <w:r>
        <w:rPr>
          <w:spacing w:val="-4"/>
        </w:rPr>
        <w:t>培养方案修订和课程体系建设，共同组成教学团队。企业负责特色二级学院经营管理工</w:t>
      </w:r>
      <w:r>
        <w:rPr/>
        <w:t>作，学校负责提供教育教学场地设施 、招生工作等，经过近两年的运营，已取得初步</w:t>
      </w:r>
    </w:p>
    <w:p>
      <w:pPr>
        <w:pStyle w:val="BodyText"/>
        <w:ind w:left="1418"/>
      </w:pPr>
      <w:r>
        <w:rPr/>
        <w:t>成效。</w:t>
      </w:r>
    </w:p>
    <w:p>
      <w:pPr>
        <w:spacing w:after="0"/>
        <w:sectPr>
          <w:pgSz w:w="11910" w:h="16840"/>
          <w:pgMar w:header="780" w:footer="1235" w:top="1260" w:bottom="1420" w:left="0" w:right="0"/>
        </w:sectPr>
      </w:pPr>
    </w:p>
    <w:p>
      <w:pPr>
        <w:pStyle w:val="BodyText"/>
        <w:spacing w:before="5"/>
        <w:rPr>
          <w:sz w:val="23"/>
        </w:rPr>
      </w:pPr>
    </w:p>
    <w:p>
      <w:pPr>
        <w:pStyle w:val="BodyText"/>
        <w:ind w:left="2095"/>
        <w:rPr>
          <w:sz w:val="20"/>
        </w:rPr>
      </w:pPr>
      <w:r>
        <w:rPr>
          <w:sz w:val="20"/>
        </w:rPr>
        <w:drawing>
          <wp:inline distT="0" distB="0" distL="0" distR="0">
            <wp:extent cx="5022172" cy="2096452"/>
            <wp:effectExtent l="0" t="0" r="0" b="0"/>
            <wp:docPr id="141" name="image62.jpeg"/>
            <wp:cNvGraphicFramePr>
              <a:graphicFrameLocks noChangeAspect="1"/>
            </wp:cNvGraphicFramePr>
            <a:graphic>
              <a:graphicData uri="http://schemas.openxmlformats.org/drawingml/2006/picture">
                <pic:pic>
                  <pic:nvPicPr>
                    <pic:cNvPr id="142" name="image62.jpeg"/>
                    <pic:cNvPicPr/>
                  </pic:nvPicPr>
                  <pic:blipFill>
                    <a:blip r:embed="rId78" cstate="print"/>
                    <a:stretch>
                      <a:fillRect/>
                    </a:stretch>
                  </pic:blipFill>
                  <pic:spPr>
                    <a:xfrm>
                      <a:off x="0" y="0"/>
                      <a:ext cx="5022172" cy="2096452"/>
                    </a:xfrm>
                    <a:prstGeom prst="rect">
                      <a:avLst/>
                    </a:prstGeom>
                  </pic:spPr>
                </pic:pic>
              </a:graphicData>
            </a:graphic>
          </wp:inline>
        </w:drawing>
      </w:r>
      <w:r>
        <w:rPr>
          <w:sz w:val="20"/>
        </w:rPr>
      </w:r>
    </w:p>
    <w:p>
      <w:pPr>
        <w:pStyle w:val="BodyText"/>
        <w:spacing w:before="1"/>
        <w:rPr>
          <w:sz w:val="6"/>
        </w:rPr>
      </w:pPr>
    </w:p>
    <w:p>
      <w:pPr>
        <w:tabs>
          <w:tab w:pos="789" w:val="left" w:leader="none"/>
        </w:tabs>
        <w:spacing w:before="69"/>
        <w:ind w:left="0" w:right="23" w:firstLine="0"/>
        <w:jc w:val="center"/>
        <w:rPr>
          <w:b/>
          <w:sz w:val="21"/>
        </w:rPr>
      </w:pPr>
      <w:r>
        <w:rPr/>
        <w:drawing>
          <wp:anchor distT="0" distB="0" distL="0" distR="0" allowOverlap="1" layoutInCell="1" locked="0" behindDoc="0" simplePos="0" relativeHeight="28">
            <wp:simplePos x="0" y="0"/>
            <wp:positionH relativeFrom="page">
              <wp:posOffset>1386839</wp:posOffset>
            </wp:positionH>
            <wp:positionV relativeFrom="paragraph">
              <wp:posOffset>292354</wp:posOffset>
            </wp:positionV>
            <wp:extent cx="4757131" cy="3038475"/>
            <wp:effectExtent l="0" t="0" r="0" b="0"/>
            <wp:wrapTopAndBottom/>
            <wp:docPr id="143" name="image63.jpeg"/>
            <wp:cNvGraphicFramePr>
              <a:graphicFrameLocks noChangeAspect="1"/>
            </wp:cNvGraphicFramePr>
            <a:graphic>
              <a:graphicData uri="http://schemas.openxmlformats.org/drawingml/2006/picture">
                <pic:pic>
                  <pic:nvPicPr>
                    <pic:cNvPr id="144" name="image63.jpeg"/>
                    <pic:cNvPicPr/>
                  </pic:nvPicPr>
                  <pic:blipFill>
                    <a:blip r:embed="rId79" cstate="print"/>
                    <a:stretch>
                      <a:fillRect/>
                    </a:stretch>
                  </pic:blipFill>
                  <pic:spPr>
                    <a:xfrm>
                      <a:off x="0" y="0"/>
                      <a:ext cx="4757131" cy="3038475"/>
                    </a:xfrm>
                    <a:prstGeom prst="rect">
                      <a:avLst/>
                    </a:prstGeom>
                  </pic:spPr>
                </pic:pic>
              </a:graphicData>
            </a:graphic>
          </wp:anchor>
        </w:drawing>
      </w:r>
      <w:r>
        <w:rPr>
          <w:b/>
          <w:sz w:val="21"/>
        </w:rPr>
        <w:t>图</w:t>
      </w:r>
      <w:r>
        <w:rPr>
          <w:b/>
          <w:spacing w:val="-55"/>
          <w:sz w:val="21"/>
        </w:rPr>
        <w:t> </w:t>
      </w:r>
      <w:r>
        <w:rPr>
          <w:b/>
          <w:sz w:val="21"/>
        </w:rPr>
        <w:t>5-5</w:t>
        <w:tab/>
        <w:t>化妆品学院建设与运营管理示意图</w:t>
      </w:r>
    </w:p>
    <w:p>
      <w:pPr>
        <w:tabs>
          <w:tab w:pos="789" w:val="left" w:leader="none"/>
        </w:tabs>
        <w:spacing w:before="98"/>
        <w:ind w:left="0" w:right="14" w:firstLine="0"/>
        <w:jc w:val="center"/>
        <w:rPr>
          <w:b/>
          <w:sz w:val="21"/>
        </w:rPr>
      </w:pPr>
      <w:r>
        <w:rPr>
          <w:b/>
          <w:sz w:val="21"/>
        </w:rPr>
        <w:t>图</w:t>
      </w:r>
      <w:r>
        <w:rPr>
          <w:b/>
          <w:spacing w:val="-55"/>
          <w:sz w:val="21"/>
        </w:rPr>
        <w:t> </w:t>
      </w:r>
      <w:r>
        <w:rPr>
          <w:b/>
          <w:sz w:val="21"/>
        </w:rPr>
        <w:t>5-6</w:t>
        <w:tab/>
        <w:t>学院与华为公司签订共建“华为</w:t>
      </w:r>
      <w:r>
        <w:rPr>
          <w:b/>
          <w:spacing w:val="-51"/>
          <w:sz w:val="21"/>
        </w:rPr>
        <w:t> </w:t>
      </w:r>
      <w:r>
        <w:rPr>
          <w:b/>
          <w:sz w:val="21"/>
        </w:rPr>
        <w:t>ICT</w:t>
      </w:r>
      <w:r>
        <w:rPr>
          <w:b/>
          <w:spacing w:val="-55"/>
          <w:sz w:val="21"/>
        </w:rPr>
        <w:t> </w:t>
      </w:r>
      <w:r>
        <w:rPr>
          <w:b/>
          <w:sz w:val="21"/>
        </w:rPr>
        <w:t>学院”建设协议</w:t>
      </w:r>
    </w:p>
    <w:p>
      <w:pPr>
        <w:pStyle w:val="BodyText"/>
        <w:spacing w:before="2"/>
        <w:rPr>
          <w:b/>
          <w:sz w:val="14"/>
        </w:rPr>
      </w:pPr>
    </w:p>
    <w:p>
      <w:pPr>
        <w:pStyle w:val="Heading2"/>
        <w:numPr>
          <w:ilvl w:val="1"/>
          <w:numId w:val="5"/>
        </w:numPr>
        <w:tabs>
          <w:tab w:pos="2471" w:val="left" w:leader="none"/>
          <w:tab w:pos="2472" w:val="left" w:leader="none"/>
        </w:tabs>
        <w:spacing w:line="240" w:lineRule="auto" w:before="0" w:after="0"/>
        <w:ind w:left="2472" w:right="0" w:hanging="574"/>
        <w:jc w:val="left"/>
      </w:pPr>
      <w:bookmarkStart w:name="5.3  机制保障" w:id="222"/>
      <w:bookmarkEnd w:id="222"/>
      <w:r>
        <w:rPr>
          <w:b w:val="0"/>
        </w:rPr>
      </w:r>
      <w:bookmarkStart w:name="_bookmark80" w:id="223"/>
      <w:bookmarkEnd w:id="223"/>
      <w:r>
        <w:rPr>
          <w:b w:val="0"/>
        </w:rPr>
      </w:r>
      <w:bookmarkStart w:name="_bookmark80" w:id="224"/>
      <w:bookmarkEnd w:id="224"/>
      <w:r>
        <w:rPr/>
        <w:t>机制保障</w:t>
      </w:r>
    </w:p>
    <w:p>
      <w:pPr>
        <w:pStyle w:val="BodyText"/>
        <w:spacing w:before="9"/>
        <w:rPr>
          <w:rFonts w:ascii="黑体"/>
          <w:b/>
        </w:rPr>
      </w:pPr>
    </w:p>
    <w:p>
      <w:pPr>
        <w:pStyle w:val="Heading2"/>
        <w:numPr>
          <w:ilvl w:val="2"/>
          <w:numId w:val="5"/>
        </w:numPr>
        <w:tabs>
          <w:tab w:pos="2743" w:val="left" w:leader="none"/>
          <w:tab w:pos="2744" w:val="left" w:leader="none"/>
        </w:tabs>
        <w:spacing w:line="240" w:lineRule="auto" w:before="0" w:after="0"/>
        <w:ind w:left="2743" w:right="0" w:hanging="846"/>
        <w:jc w:val="left"/>
      </w:pPr>
      <w:bookmarkStart w:name="5.3.1  创新行动计划实施成效" w:id="225"/>
      <w:bookmarkEnd w:id="225"/>
      <w:r>
        <w:rPr>
          <w:b w:val="0"/>
        </w:rPr>
      </w:r>
      <w:bookmarkStart w:name="_bookmark81" w:id="226"/>
      <w:bookmarkEnd w:id="226"/>
      <w:r>
        <w:rPr>
          <w:b w:val="0"/>
        </w:rPr>
      </w:r>
      <w:bookmarkStart w:name="_bookmark81" w:id="227"/>
      <w:bookmarkEnd w:id="227"/>
      <w:r>
        <w:rPr/>
        <w:t>创新行动计划实施成效</w:t>
      </w:r>
    </w:p>
    <w:p>
      <w:pPr>
        <w:pStyle w:val="BodyText"/>
        <w:spacing w:before="6"/>
        <w:rPr>
          <w:rFonts w:ascii="黑体"/>
          <w:b/>
          <w:sz w:val="18"/>
        </w:rPr>
      </w:pPr>
    </w:p>
    <w:p>
      <w:pPr>
        <w:pStyle w:val="BodyText"/>
        <w:spacing w:line="364" w:lineRule="auto" w:before="1"/>
        <w:ind w:left="1418" w:right="1417" w:firstLine="480"/>
        <w:jc w:val="both"/>
      </w:pPr>
      <w:r>
        <w:rPr>
          <w:spacing w:val="6"/>
        </w:rPr>
        <w:t>为贯彻落实教育部《高等职业教育创新发展行动计划</w:t>
      </w:r>
      <w:r>
        <w:rPr/>
        <w:t>(2015－2018</w:t>
      </w:r>
      <w:r>
        <w:rPr>
          <w:spacing w:val="-1"/>
        </w:rPr>
        <w:t> 年)》(教职成[2015]9</w:t>
      </w:r>
      <w:r>
        <w:rPr>
          <w:spacing w:val="-13"/>
        </w:rPr>
        <w:t> 号)和湖南省教育厅《湖南高等职业教育创新发展行动计划</w:t>
      </w:r>
      <w:r>
        <w:rPr/>
        <w:t>(2016-2018</w:t>
      </w:r>
      <w:r>
        <w:rPr>
          <w:spacing w:val="-28"/>
        </w:rPr>
        <w:t> 年)》(湘</w:t>
      </w:r>
      <w:r>
        <w:rPr>
          <w:spacing w:val="10"/>
        </w:rPr>
        <w:t>教发</w:t>
      </w:r>
      <w:r>
        <w:rPr/>
        <w:t>[2016]7</w:t>
      </w:r>
      <w:r>
        <w:rPr>
          <w:spacing w:val="2"/>
        </w:rPr>
        <w:t> 号)，学院制定了《湖南化工职业技术学院创新发展行动计划实施方案</w:t>
      </w:r>
      <w:r>
        <w:rPr/>
        <w:t>(2016-2018</w:t>
      </w:r>
      <w:r>
        <w:rPr>
          <w:spacing w:val="-7"/>
        </w:rPr>
        <w:t> 年)》。同时承担了省级教育行政部门创新行动计划建设任务 </w:t>
      </w:r>
      <w:r>
        <w:rPr/>
        <w:t>43</w:t>
      </w:r>
      <w:r>
        <w:rPr>
          <w:spacing w:val="-9"/>
        </w:rPr>
        <w:t> 项、项目</w:t>
      </w:r>
    </w:p>
    <w:p>
      <w:pPr>
        <w:pStyle w:val="BodyText"/>
        <w:spacing w:line="362" w:lineRule="auto"/>
        <w:ind w:left="1418" w:right="1417"/>
        <w:jc w:val="both"/>
      </w:pPr>
      <w:r>
        <w:rPr/>
        <w:t>15</w:t>
      </w:r>
      <w:r>
        <w:rPr>
          <w:spacing w:val="-11"/>
        </w:rPr>
        <w:t> 项，承担了化工行指委创新行动计划建设项目 </w:t>
      </w:r>
      <w:r>
        <w:rPr/>
        <w:t>11</w:t>
      </w:r>
      <w:r>
        <w:rPr>
          <w:spacing w:val="-9"/>
        </w:rPr>
        <w:t> 项，经过全年扎实推进，所有任务</w:t>
      </w:r>
      <w:r>
        <w:rPr/>
        <w:t>年度绩效指标均全部完成。</w:t>
      </w:r>
    </w:p>
    <w:p>
      <w:pPr>
        <w:pStyle w:val="BodyText"/>
        <w:spacing w:before="2"/>
        <w:ind w:left="1898"/>
        <w:jc w:val="both"/>
      </w:pPr>
      <w:r>
        <w:rPr/>
        <w:t>2018 年是学院省级卓越高职院校项目建设的丰收年。按照《湖南化工职业技术学院</w:t>
      </w:r>
    </w:p>
    <w:p>
      <w:pPr>
        <w:spacing w:after="0"/>
        <w:jc w:val="both"/>
        <w:sectPr>
          <w:pgSz w:w="11910" w:h="16840"/>
          <w:pgMar w:header="780" w:footer="1235" w:top="1260" w:bottom="1440" w:left="0" w:right="0"/>
        </w:sectPr>
      </w:pPr>
    </w:p>
    <w:p>
      <w:pPr>
        <w:pStyle w:val="BodyText"/>
        <w:spacing w:line="364" w:lineRule="auto" w:before="141"/>
        <w:ind w:left="1418" w:right="1417"/>
        <w:jc w:val="both"/>
      </w:pPr>
      <w:r>
        <w:rPr>
          <w:spacing w:val="-4"/>
        </w:rPr>
        <w:t>省级卓越高职院校项目建设实施方案》所确定的建设思路、总体建设目标，严格执行党</w:t>
      </w:r>
      <w:r>
        <w:rPr>
          <w:spacing w:val="-8"/>
        </w:rPr>
        <w:t>委决定，进一步明确和细化特色专业群、师资队伍、治理能力、智慧校园、创新创业教</w:t>
      </w:r>
      <w:r>
        <w:rPr>
          <w:spacing w:val="-4"/>
        </w:rPr>
        <w:t>育体系七个子项目的各项目标任务，加强项目管理机构职能，有效统筹协调各二级学院</w:t>
      </w:r>
      <w:r>
        <w:rPr>
          <w:spacing w:val="-19"/>
        </w:rPr>
        <w:t>开展专业群建设。截止目前，各子项目常规性工作已基本完成，取得省级标志性成果 </w:t>
      </w:r>
      <w:r>
        <w:rPr>
          <w:spacing w:val="-6"/>
        </w:rPr>
        <w:t>194</w:t>
      </w:r>
    </w:p>
    <w:p>
      <w:pPr>
        <w:pStyle w:val="BodyText"/>
        <w:spacing w:line="364" w:lineRule="auto" w:after="5"/>
        <w:ind w:left="1418" w:right="1417"/>
        <w:jc w:val="both"/>
      </w:pPr>
      <w:r>
        <w:rPr>
          <w:spacing w:val="-4"/>
        </w:rPr>
        <w:t>项，国家级标志性成果 </w:t>
      </w:r>
      <w:r>
        <w:rPr/>
        <w:t>27</w:t>
      </w:r>
      <w:r>
        <w:rPr>
          <w:spacing w:val="-6"/>
        </w:rPr>
        <w:t> 项，出色完成了党委制定的项目建设年度目标。为学院“冲优质、争一流”奠定了良好基础。</w:t>
      </w:r>
    </w:p>
    <w:p>
      <w:pPr>
        <w:pStyle w:val="BodyText"/>
        <w:ind w:left="1958"/>
        <w:rPr>
          <w:sz w:val="20"/>
        </w:rPr>
      </w:pPr>
      <w:r>
        <w:rPr>
          <w:sz w:val="20"/>
        </w:rPr>
        <w:drawing>
          <wp:inline distT="0" distB="0" distL="0" distR="0">
            <wp:extent cx="5038095" cy="2752725"/>
            <wp:effectExtent l="0" t="0" r="0" b="0"/>
            <wp:docPr id="145" name="image64.png"/>
            <wp:cNvGraphicFramePr>
              <a:graphicFrameLocks noChangeAspect="1"/>
            </wp:cNvGraphicFramePr>
            <a:graphic>
              <a:graphicData uri="http://schemas.openxmlformats.org/drawingml/2006/picture">
                <pic:pic>
                  <pic:nvPicPr>
                    <pic:cNvPr id="146" name="image64.png"/>
                    <pic:cNvPicPr/>
                  </pic:nvPicPr>
                  <pic:blipFill>
                    <a:blip r:embed="rId80" cstate="print"/>
                    <a:stretch>
                      <a:fillRect/>
                    </a:stretch>
                  </pic:blipFill>
                  <pic:spPr>
                    <a:xfrm>
                      <a:off x="0" y="0"/>
                      <a:ext cx="5038095" cy="2752725"/>
                    </a:xfrm>
                    <a:prstGeom prst="rect">
                      <a:avLst/>
                    </a:prstGeom>
                  </pic:spPr>
                </pic:pic>
              </a:graphicData>
            </a:graphic>
          </wp:inline>
        </w:drawing>
      </w:r>
      <w:r>
        <w:rPr>
          <w:sz w:val="20"/>
        </w:rPr>
      </w:r>
    </w:p>
    <w:p>
      <w:pPr>
        <w:tabs>
          <w:tab w:pos="791" w:val="left" w:leader="none"/>
        </w:tabs>
        <w:spacing w:before="44"/>
        <w:ind w:left="0" w:right="23" w:firstLine="0"/>
        <w:jc w:val="center"/>
        <w:rPr>
          <w:b/>
          <w:sz w:val="21"/>
        </w:rPr>
      </w:pPr>
      <w:r>
        <w:rPr>
          <w:b/>
          <w:sz w:val="21"/>
        </w:rPr>
        <w:t>图</w:t>
      </w:r>
      <w:r>
        <w:rPr>
          <w:b/>
          <w:spacing w:val="-52"/>
          <w:sz w:val="21"/>
        </w:rPr>
        <w:t> </w:t>
      </w:r>
      <w:r>
        <w:rPr>
          <w:b/>
          <w:sz w:val="21"/>
        </w:rPr>
        <w:t>5-7</w:t>
        <w:tab/>
        <w:t>学院省级卓越校建设标志性成果完成情况</w:t>
      </w:r>
    </w:p>
    <w:p>
      <w:pPr>
        <w:spacing w:before="43"/>
        <w:ind w:left="2965" w:right="42" w:firstLine="0"/>
        <w:jc w:val="center"/>
        <w:rPr>
          <w:b/>
          <w:sz w:val="21"/>
        </w:rPr>
      </w:pPr>
      <w:r>
        <w:rPr>
          <w:b/>
          <w:sz w:val="21"/>
        </w:rPr>
        <w:t>数据来源：湖南化工职业技术学院省级卓越高职院校项目实施方案</w:t>
      </w:r>
    </w:p>
    <w:p>
      <w:pPr>
        <w:pStyle w:val="BodyText"/>
        <w:rPr>
          <w:b/>
          <w:sz w:val="20"/>
        </w:rPr>
      </w:pPr>
    </w:p>
    <w:p>
      <w:pPr>
        <w:pStyle w:val="Heading2"/>
        <w:numPr>
          <w:ilvl w:val="2"/>
          <w:numId w:val="5"/>
        </w:numPr>
        <w:tabs>
          <w:tab w:pos="2743" w:val="left" w:leader="none"/>
          <w:tab w:pos="2744" w:val="left" w:leader="none"/>
        </w:tabs>
        <w:spacing w:line="240" w:lineRule="auto" w:before="158" w:after="0"/>
        <w:ind w:left="2743" w:right="0" w:hanging="846"/>
        <w:jc w:val="left"/>
      </w:pPr>
      <w:bookmarkStart w:name="5.3.2  教学工作诊断与改进情况" w:id="228"/>
      <w:bookmarkEnd w:id="228"/>
      <w:r>
        <w:rPr>
          <w:b w:val="0"/>
        </w:rPr>
      </w:r>
      <w:bookmarkStart w:name="_bookmark82" w:id="229"/>
      <w:bookmarkEnd w:id="229"/>
      <w:r>
        <w:rPr>
          <w:b w:val="0"/>
        </w:rPr>
      </w:r>
      <w:bookmarkStart w:name="_bookmark82" w:id="230"/>
      <w:bookmarkEnd w:id="230"/>
      <w:r>
        <w:rPr/>
        <w:t>教学工作诊断与改进情况</w:t>
      </w:r>
    </w:p>
    <w:p>
      <w:pPr>
        <w:pStyle w:val="BodyText"/>
        <w:spacing w:before="6"/>
        <w:rPr>
          <w:rFonts w:ascii="黑体"/>
          <w:b/>
          <w:sz w:val="18"/>
        </w:rPr>
      </w:pPr>
    </w:p>
    <w:p>
      <w:pPr>
        <w:pStyle w:val="BodyText"/>
        <w:spacing w:line="364" w:lineRule="auto" w:before="1"/>
        <w:ind w:left="1418" w:right="1417" w:firstLine="480"/>
        <w:jc w:val="both"/>
      </w:pPr>
      <w:r>
        <w:rPr>
          <w:spacing w:val="-7"/>
        </w:rPr>
        <w:t>学院设立了督导处，设有处长、副处长、干事、校级督导员，二级学院和教学部门成立教学督导组，设有组长、副组长，督导成员。制定了《内部质量保证体系诊断与改</w:t>
      </w:r>
      <w:r>
        <w:rPr>
          <w:spacing w:val="-6"/>
        </w:rPr>
        <w:t>进工作实施方案(试行)》，构建了学院内部质量保证体系，建立了世界大学城网络空间</w:t>
      </w:r>
      <w:r>
        <w:rPr/>
        <w:t>质量监控平台，启动了教学质量诊改工作。</w:t>
      </w:r>
    </w:p>
    <w:p>
      <w:pPr>
        <w:pStyle w:val="BodyText"/>
        <w:spacing w:line="364" w:lineRule="auto"/>
        <w:ind w:left="1418" w:right="1365" w:firstLine="480"/>
        <w:jc w:val="both"/>
      </w:pPr>
      <w:r>
        <w:rPr>
          <w:spacing w:val="-1"/>
        </w:rPr>
        <w:t>完善督查督办工作制度。通过行政督导、教学督导、项目督导和常规检查等方式， </w:t>
      </w:r>
      <w:r>
        <w:rPr>
          <w:spacing w:val="-5"/>
        </w:rPr>
        <w:t>加大对二级单位工作进行监督、检查、评价、指导。认真谋划全面督导工作，创新督查</w:t>
      </w:r>
      <w:r>
        <w:rPr>
          <w:spacing w:val="-9"/>
        </w:rPr>
        <w:t>督办策略，做实行政督导、教学督导、项目督导和常规检查。强化教学督导，加强了对兼职教师和年轻教师的听课指导，助推兼职教师教学和课堂管理水平快速提升。</w:t>
      </w:r>
    </w:p>
    <w:p>
      <w:pPr>
        <w:pStyle w:val="BodyText"/>
        <w:spacing w:line="364" w:lineRule="auto"/>
        <w:ind w:left="1418" w:right="1417" w:firstLine="480"/>
        <w:jc w:val="both"/>
      </w:pPr>
      <w:r>
        <w:rPr>
          <w:spacing w:val="-5"/>
        </w:rPr>
        <w:t>以诊断与改进理念推进学校工作。创新工作机制，以党政工作要点为目标，按诊断</w:t>
      </w:r>
      <w:r>
        <w:rPr>
          <w:spacing w:val="-7"/>
        </w:rPr>
        <w:t>与改进基本要求，在决策、执行、监督三者相互分离、相互制约、相互合作的内部运行</w:t>
      </w:r>
      <w:r>
        <w:rPr>
          <w:spacing w:val="-8"/>
        </w:rPr>
        <w:t>机制下，注重组织协调，强化督查督办，做实监督职能的督导服务，进一步明确工作职</w:t>
      </w:r>
    </w:p>
    <w:p>
      <w:pPr>
        <w:spacing w:after="0" w:line="364" w:lineRule="auto"/>
        <w:jc w:val="both"/>
        <w:sectPr>
          <w:pgSz w:w="11910" w:h="16840"/>
          <w:pgMar w:header="780" w:footer="1235" w:top="1260" w:bottom="1440" w:left="0" w:right="0"/>
        </w:sectPr>
      </w:pPr>
    </w:p>
    <w:p>
      <w:pPr>
        <w:pStyle w:val="BodyText"/>
        <w:spacing w:line="364" w:lineRule="auto" w:before="141"/>
        <w:ind w:left="1418" w:right="1291"/>
      </w:pPr>
      <w:r>
        <w:rPr>
          <w:spacing w:val="-14"/>
        </w:rPr>
        <w:t>责，找准督查、督导、服务定位，各施其职，分工合作，协同推进，效能提升。以期初、</w:t>
      </w:r>
      <w:r>
        <w:rPr>
          <w:spacing w:val="-7"/>
        </w:rPr>
        <w:t>期中、期末三大检查为契机，开展党政部门、二级学院和课部、任课教师各个层面的诊断与改进行动，有力地促进了学校工作落实，学校重大工作任务得以较好完成。</w:t>
      </w:r>
    </w:p>
    <w:p>
      <w:pPr>
        <w:pStyle w:val="BodyText"/>
        <w:ind w:left="2755"/>
        <w:rPr>
          <w:sz w:val="20"/>
        </w:rPr>
      </w:pPr>
      <w:r>
        <w:rPr>
          <w:sz w:val="20"/>
        </w:rPr>
        <w:drawing>
          <wp:inline distT="0" distB="0" distL="0" distR="0">
            <wp:extent cx="4069983" cy="2260854"/>
            <wp:effectExtent l="0" t="0" r="0" b="0"/>
            <wp:docPr id="147" name="image65.jpeg"/>
            <wp:cNvGraphicFramePr>
              <a:graphicFrameLocks noChangeAspect="1"/>
            </wp:cNvGraphicFramePr>
            <a:graphic>
              <a:graphicData uri="http://schemas.openxmlformats.org/drawingml/2006/picture">
                <pic:pic>
                  <pic:nvPicPr>
                    <pic:cNvPr id="148" name="image65.jpeg"/>
                    <pic:cNvPicPr/>
                  </pic:nvPicPr>
                  <pic:blipFill>
                    <a:blip r:embed="rId81" cstate="print"/>
                    <a:stretch>
                      <a:fillRect/>
                    </a:stretch>
                  </pic:blipFill>
                  <pic:spPr>
                    <a:xfrm>
                      <a:off x="0" y="0"/>
                      <a:ext cx="4069983" cy="2260854"/>
                    </a:xfrm>
                    <a:prstGeom prst="rect">
                      <a:avLst/>
                    </a:prstGeom>
                  </pic:spPr>
                </pic:pic>
              </a:graphicData>
            </a:graphic>
          </wp:inline>
        </w:drawing>
      </w:r>
      <w:r>
        <w:rPr>
          <w:sz w:val="20"/>
        </w:rPr>
      </w:r>
    </w:p>
    <w:p>
      <w:pPr>
        <w:tabs>
          <w:tab w:pos="789" w:val="left" w:leader="none"/>
        </w:tabs>
        <w:spacing w:before="167" w:after="21"/>
        <w:ind w:left="0" w:right="31" w:firstLine="0"/>
        <w:jc w:val="center"/>
        <w:rPr>
          <w:b/>
          <w:sz w:val="21"/>
        </w:rPr>
      </w:pPr>
      <w:r>
        <w:rPr>
          <w:b/>
          <w:sz w:val="21"/>
        </w:rPr>
        <w:t>图</w:t>
      </w:r>
      <w:r>
        <w:rPr>
          <w:b/>
          <w:spacing w:val="-55"/>
          <w:sz w:val="21"/>
        </w:rPr>
        <w:t> </w:t>
      </w:r>
      <w:r>
        <w:rPr>
          <w:b/>
          <w:sz w:val="21"/>
        </w:rPr>
        <w:t>5-8</w:t>
        <w:tab/>
        <w:t>课堂教学诊改流程</w:t>
      </w:r>
    </w:p>
    <w:p>
      <w:pPr>
        <w:pStyle w:val="BodyText"/>
        <w:ind w:left="3033"/>
        <w:rPr>
          <w:sz w:val="20"/>
        </w:rPr>
      </w:pPr>
      <w:r>
        <w:rPr>
          <w:sz w:val="20"/>
        </w:rPr>
        <w:drawing>
          <wp:inline distT="0" distB="0" distL="0" distR="0">
            <wp:extent cx="3699050" cy="2072258"/>
            <wp:effectExtent l="0" t="0" r="0" b="0"/>
            <wp:docPr id="149" name="image66.jpeg"/>
            <wp:cNvGraphicFramePr>
              <a:graphicFrameLocks noChangeAspect="1"/>
            </wp:cNvGraphicFramePr>
            <a:graphic>
              <a:graphicData uri="http://schemas.openxmlformats.org/drawingml/2006/picture">
                <pic:pic>
                  <pic:nvPicPr>
                    <pic:cNvPr id="150" name="image66.jpeg"/>
                    <pic:cNvPicPr/>
                  </pic:nvPicPr>
                  <pic:blipFill>
                    <a:blip r:embed="rId82" cstate="print"/>
                    <a:stretch>
                      <a:fillRect/>
                    </a:stretch>
                  </pic:blipFill>
                  <pic:spPr>
                    <a:xfrm>
                      <a:off x="0" y="0"/>
                      <a:ext cx="3699050" cy="2072258"/>
                    </a:xfrm>
                    <a:prstGeom prst="rect">
                      <a:avLst/>
                    </a:prstGeom>
                  </pic:spPr>
                </pic:pic>
              </a:graphicData>
            </a:graphic>
          </wp:inline>
        </w:drawing>
      </w:r>
      <w:r>
        <w:rPr>
          <w:sz w:val="20"/>
        </w:rPr>
      </w:r>
    </w:p>
    <w:p>
      <w:pPr>
        <w:pStyle w:val="BodyText"/>
        <w:spacing w:before="8"/>
        <w:rPr>
          <w:b/>
          <w:sz w:val="7"/>
        </w:rPr>
      </w:pPr>
    </w:p>
    <w:p>
      <w:pPr>
        <w:spacing w:after="0"/>
        <w:rPr>
          <w:sz w:val="7"/>
        </w:rPr>
        <w:sectPr>
          <w:pgSz w:w="11910" w:h="16840"/>
          <w:pgMar w:header="780" w:footer="1235" w:top="1260" w:bottom="1440" w:left="0" w:right="0"/>
        </w:sectPr>
      </w:pPr>
    </w:p>
    <w:p>
      <w:pPr>
        <w:pStyle w:val="BodyText"/>
        <w:rPr>
          <w:b/>
          <w:sz w:val="26"/>
        </w:rPr>
      </w:pPr>
    </w:p>
    <w:p>
      <w:pPr>
        <w:pStyle w:val="Heading2"/>
        <w:numPr>
          <w:ilvl w:val="1"/>
          <w:numId w:val="5"/>
        </w:numPr>
        <w:tabs>
          <w:tab w:pos="2471" w:val="left" w:leader="none"/>
          <w:tab w:pos="2472" w:val="left" w:leader="none"/>
        </w:tabs>
        <w:spacing w:line="240" w:lineRule="auto" w:before="187" w:after="0"/>
        <w:ind w:left="2472" w:right="0" w:hanging="574"/>
        <w:jc w:val="left"/>
      </w:pPr>
      <w:bookmarkStart w:name="5.4  经费保障" w:id="231"/>
      <w:bookmarkEnd w:id="231"/>
      <w:r>
        <w:rPr>
          <w:b w:val="0"/>
        </w:rPr>
      </w:r>
      <w:bookmarkStart w:name="_bookmark83" w:id="232"/>
      <w:bookmarkEnd w:id="232"/>
      <w:r>
        <w:rPr>
          <w:b w:val="0"/>
        </w:rPr>
      </w:r>
      <w:bookmarkStart w:name="_bookmark83" w:id="233"/>
      <w:bookmarkEnd w:id="233"/>
      <w:r>
        <w:rPr>
          <w:spacing w:val="-5"/>
        </w:rPr>
        <w:t>经费保障</w:t>
      </w:r>
    </w:p>
    <w:p>
      <w:pPr>
        <w:tabs>
          <w:tab w:pos="2014" w:val="left" w:leader="none"/>
        </w:tabs>
        <w:spacing w:before="70"/>
        <w:ind w:left="1224" w:right="0" w:firstLine="0"/>
        <w:jc w:val="left"/>
        <w:rPr>
          <w:b/>
          <w:sz w:val="21"/>
        </w:rPr>
      </w:pPr>
      <w:r>
        <w:rPr/>
        <w:br w:type="column"/>
      </w:r>
      <w:r>
        <w:rPr>
          <w:b/>
          <w:sz w:val="21"/>
        </w:rPr>
        <w:t>图</w:t>
      </w:r>
      <w:r>
        <w:rPr>
          <w:b/>
          <w:spacing w:val="-55"/>
          <w:sz w:val="21"/>
        </w:rPr>
        <w:t> </w:t>
      </w:r>
      <w:r>
        <w:rPr>
          <w:b/>
          <w:sz w:val="21"/>
        </w:rPr>
        <w:t>5-9</w:t>
        <w:tab/>
        <w:t>学校工作诊改流程</w:t>
      </w:r>
    </w:p>
    <w:p>
      <w:pPr>
        <w:spacing w:after="0"/>
        <w:jc w:val="left"/>
        <w:rPr>
          <w:sz w:val="21"/>
        </w:rPr>
        <w:sectPr>
          <w:type w:val="continuous"/>
          <w:pgSz w:w="11910" w:h="16840"/>
          <w:pgMar w:top="1580" w:bottom="280" w:left="0" w:right="0"/>
          <w:cols w:num="2" w:equalWidth="0">
            <w:col w:w="3435" w:space="40"/>
            <w:col w:w="8435"/>
          </w:cols>
        </w:sectPr>
      </w:pPr>
    </w:p>
    <w:p>
      <w:pPr>
        <w:pStyle w:val="BodyText"/>
        <w:spacing w:before="6"/>
        <w:rPr>
          <w:b/>
          <w:sz w:val="25"/>
        </w:rPr>
      </w:pPr>
    </w:p>
    <w:p>
      <w:pPr>
        <w:pStyle w:val="BodyText"/>
        <w:spacing w:line="364" w:lineRule="auto" w:before="67"/>
        <w:ind w:left="1418" w:right="1334" w:firstLine="480"/>
      </w:pPr>
      <w:r>
        <w:rPr/>
        <w:t>2018</w:t>
      </w:r>
      <w:r>
        <w:rPr>
          <w:spacing w:val="-13"/>
        </w:rPr>
        <w:t> 年，学院生均经常性财政拨款为 </w:t>
      </w:r>
      <w:r>
        <w:rPr/>
        <w:t>14789</w:t>
      </w:r>
      <w:r>
        <w:rPr>
          <w:spacing w:val="-15"/>
        </w:rPr>
        <w:t> 元，比上年提高了 </w:t>
      </w:r>
      <w:r>
        <w:rPr/>
        <w:t>20.61%(</w:t>
      </w:r>
      <w:r>
        <w:rPr>
          <w:spacing w:val="-20"/>
        </w:rPr>
        <w:t>见图 </w:t>
      </w:r>
      <w:r>
        <w:rPr>
          <w:spacing w:val="-4"/>
        </w:rPr>
        <w:t>4-2)， </w:t>
      </w:r>
      <w:r>
        <w:rPr/>
        <w:t>生均经常性财政拨款水平增长明显。</w:t>
      </w:r>
    </w:p>
    <w:p>
      <w:pPr>
        <w:spacing w:after="0" w:line="364" w:lineRule="auto"/>
        <w:sectPr>
          <w:type w:val="continuous"/>
          <w:pgSz w:w="11910" w:h="16840"/>
          <w:pgMar w:top="1580" w:bottom="280" w:left="0" w:right="0"/>
        </w:sectPr>
      </w:pPr>
    </w:p>
    <w:p>
      <w:pPr>
        <w:pStyle w:val="BodyText"/>
        <w:spacing w:before="11" w:after="1"/>
        <w:rPr>
          <w:sz w:val="10"/>
        </w:rPr>
      </w:pPr>
    </w:p>
    <w:p>
      <w:pPr>
        <w:pStyle w:val="BodyText"/>
        <w:ind w:left="1917"/>
        <w:rPr>
          <w:sz w:val="20"/>
        </w:rPr>
      </w:pPr>
      <w:r>
        <w:rPr>
          <w:sz w:val="20"/>
        </w:rPr>
        <w:drawing>
          <wp:inline distT="0" distB="0" distL="0" distR="0">
            <wp:extent cx="5113995" cy="2305050"/>
            <wp:effectExtent l="0" t="0" r="0" b="0"/>
            <wp:docPr id="151" name="image67.png"/>
            <wp:cNvGraphicFramePr>
              <a:graphicFrameLocks noChangeAspect="1"/>
            </wp:cNvGraphicFramePr>
            <a:graphic>
              <a:graphicData uri="http://schemas.openxmlformats.org/drawingml/2006/picture">
                <pic:pic>
                  <pic:nvPicPr>
                    <pic:cNvPr id="152" name="image67.png"/>
                    <pic:cNvPicPr/>
                  </pic:nvPicPr>
                  <pic:blipFill>
                    <a:blip r:embed="rId83" cstate="print"/>
                    <a:stretch>
                      <a:fillRect/>
                    </a:stretch>
                  </pic:blipFill>
                  <pic:spPr>
                    <a:xfrm>
                      <a:off x="0" y="0"/>
                      <a:ext cx="5113995" cy="2305050"/>
                    </a:xfrm>
                    <a:prstGeom prst="rect">
                      <a:avLst/>
                    </a:prstGeom>
                  </pic:spPr>
                </pic:pic>
              </a:graphicData>
            </a:graphic>
          </wp:inline>
        </w:drawing>
      </w:r>
      <w:r>
        <w:rPr>
          <w:sz w:val="20"/>
        </w:rPr>
      </w:r>
    </w:p>
    <w:p>
      <w:pPr>
        <w:pStyle w:val="BodyText"/>
        <w:spacing w:before="6"/>
        <w:rPr>
          <w:sz w:val="5"/>
        </w:rPr>
      </w:pPr>
    </w:p>
    <w:p>
      <w:pPr>
        <w:spacing w:before="70"/>
        <w:ind w:left="0" w:right="26" w:firstLine="0"/>
        <w:jc w:val="center"/>
        <w:rPr>
          <w:b/>
          <w:sz w:val="21"/>
        </w:rPr>
      </w:pPr>
      <w:r>
        <w:rPr>
          <w:b/>
          <w:sz w:val="21"/>
        </w:rPr>
        <w:t>图 5-10 学院生均经常性财政拨款情况</w:t>
      </w:r>
    </w:p>
    <w:p>
      <w:pPr>
        <w:spacing w:before="122"/>
        <w:ind w:left="4390" w:right="1" w:firstLine="0"/>
        <w:jc w:val="center"/>
        <w:rPr>
          <w:b/>
          <w:sz w:val="21"/>
        </w:rPr>
      </w:pPr>
      <w:r>
        <w:rPr>
          <w:b/>
          <w:sz w:val="21"/>
        </w:rPr>
        <w:t>数据来源：全国高职院校状态数据采集与管理系统</w:t>
      </w:r>
    </w:p>
    <w:p>
      <w:pPr>
        <w:pStyle w:val="BodyText"/>
        <w:rPr>
          <w:b/>
          <w:sz w:val="20"/>
        </w:rPr>
      </w:pPr>
    </w:p>
    <w:p>
      <w:pPr>
        <w:pStyle w:val="BodyText"/>
        <w:spacing w:before="12"/>
        <w:rPr>
          <w:b/>
          <w:sz w:val="16"/>
        </w:rPr>
      </w:pPr>
    </w:p>
    <w:p>
      <w:pPr>
        <w:pStyle w:val="Heading1"/>
        <w:numPr>
          <w:ilvl w:val="0"/>
          <w:numId w:val="6"/>
        </w:numPr>
        <w:tabs>
          <w:tab w:pos="2397" w:val="left" w:leader="none"/>
          <w:tab w:pos="2398" w:val="left" w:leader="none"/>
        </w:tabs>
        <w:spacing w:line="240" w:lineRule="auto" w:before="71" w:after="0"/>
        <w:ind w:left="2397" w:right="0" w:hanging="421"/>
        <w:jc w:val="left"/>
        <w:rPr>
          <w:rFonts w:ascii="Times New Roman" w:eastAsia="Times New Roman"/>
        </w:rPr>
      </w:pPr>
      <w:bookmarkStart w:name="6  国际合作" w:id="234"/>
      <w:bookmarkEnd w:id="234"/>
      <w:r>
        <w:rPr>
          <w:b w:val="0"/>
        </w:rPr>
      </w:r>
      <w:bookmarkStart w:name="_bookmark84" w:id="235"/>
      <w:bookmarkEnd w:id="235"/>
      <w:r>
        <w:rPr>
          <w:b w:val="0"/>
        </w:rPr>
      </w:r>
      <w:bookmarkStart w:name="_bookmark84" w:id="236"/>
      <w:bookmarkEnd w:id="236"/>
      <w:r>
        <w:rPr/>
        <w:t>国际合作</w:t>
      </w:r>
    </w:p>
    <w:p>
      <w:pPr>
        <w:pStyle w:val="BodyText"/>
        <w:spacing w:before="11"/>
        <w:rPr>
          <w:rFonts w:ascii="黑体"/>
          <w:b/>
          <w:sz w:val="34"/>
        </w:rPr>
      </w:pPr>
    </w:p>
    <w:p>
      <w:pPr>
        <w:pStyle w:val="Heading2"/>
        <w:numPr>
          <w:ilvl w:val="1"/>
          <w:numId w:val="6"/>
        </w:numPr>
        <w:tabs>
          <w:tab w:pos="2471" w:val="left" w:leader="none"/>
          <w:tab w:pos="2472" w:val="left" w:leader="none"/>
        </w:tabs>
        <w:spacing w:line="240" w:lineRule="auto" w:before="0" w:after="0"/>
        <w:ind w:left="2472" w:right="0" w:hanging="574"/>
        <w:jc w:val="left"/>
      </w:pPr>
      <w:bookmarkStart w:name="6.1  国际影响表" w:id="237"/>
      <w:bookmarkEnd w:id="237"/>
      <w:r>
        <w:rPr>
          <w:b w:val="0"/>
        </w:rPr>
      </w:r>
      <w:bookmarkStart w:name="_bookmark85" w:id="238"/>
      <w:bookmarkEnd w:id="238"/>
      <w:r>
        <w:rPr>
          <w:b w:val="0"/>
        </w:rPr>
      </w:r>
      <w:bookmarkStart w:name="_bookmark85" w:id="239"/>
      <w:bookmarkEnd w:id="239"/>
      <w:r>
        <w:rPr/>
        <w:t>国际影响表</w:t>
      </w:r>
    </w:p>
    <w:p>
      <w:pPr>
        <w:pStyle w:val="BodyText"/>
        <w:spacing w:before="9"/>
        <w:rPr>
          <w:rFonts w:ascii="黑体"/>
          <w:b/>
          <w:sz w:val="30"/>
        </w:rPr>
      </w:pPr>
    </w:p>
    <w:p>
      <w:pPr>
        <w:pStyle w:val="BodyText"/>
        <w:spacing w:line="364" w:lineRule="auto"/>
        <w:ind w:left="1418" w:right="1454" w:firstLine="480"/>
        <w:jc w:val="both"/>
      </w:pPr>
      <w:r>
        <w:rPr/>
        <w:t>2018</w:t>
      </w:r>
      <w:r>
        <w:rPr>
          <w:spacing w:val="-4"/>
        </w:rPr>
        <w:t> 年，学院持续深入开展与国际知名院校和职业教育发达国家院校的校际交流</w:t>
      </w:r>
      <w:r>
        <w:rPr>
          <w:spacing w:val="-12"/>
        </w:rPr>
        <w:t>与合作。努力服务“一带一路”战略中国化工企业走出去，不断拓展、深化国际交流与</w:t>
      </w:r>
      <w:r>
        <w:rPr/>
        <w:t>合作项目，取得了较好的成绩。</w:t>
      </w:r>
    </w:p>
    <w:p>
      <w:pPr>
        <w:tabs>
          <w:tab w:pos="791" w:val="left" w:leader="none"/>
        </w:tabs>
        <w:spacing w:line="212" w:lineRule="exact" w:before="0" w:after="22"/>
        <w:ind w:left="0" w:right="33" w:firstLine="0"/>
        <w:jc w:val="center"/>
        <w:rPr>
          <w:b/>
          <w:sz w:val="21"/>
        </w:rPr>
      </w:pPr>
      <w:r>
        <w:rPr>
          <w:b/>
          <w:sz w:val="21"/>
        </w:rPr>
        <w:t>表</w:t>
      </w:r>
      <w:r>
        <w:rPr>
          <w:b/>
          <w:spacing w:val="-53"/>
          <w:sz w:val="21"/>
        </w:rPr>
        <w:t> </w:t>
      </w:r>
      <w:r>
        <w:rPr>
          <w:b/>
          <w:sz w:val="21"/>
        </w:rPr>
        <w:t>6-1</w:t>
        <w:tab/>
        <w:t>国际影响表</w:t>
      </w:r>
    </w:p>
    <w:tbl>
      <w:tblPr>
        <w:tblW w:w="0" w:type="auto"/>
        <w:jc w:val="left"/>
        <w:tblInd w:w="14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8"/>
        <w:gridCol w:w="788"/>
        <w:gridCol w:w="452"/>
        <w:gridCol w:w="2106"/>
        <w:gridCol w:w="740"/>
        <w:gridCol w:w="891"/>
        <w:gridCol w:w="992"/>
        <w:gridCol w:w="2268"/>
      </w:tblGrid>
      <w:tr>
        <w:trPr>
          <w:trHeight w:val="672" w:hRule="atLeast"/>
        </w:trPr>
        <w:tc>
          <w:tcPr>
            <w:tcW w:w="788" w:type="dxa"/>
            <w:tcBorders>
              <w:bottom w:val="single" w:sz="8" w:space="0" w:color="000000"/>
              <w:right w:val="single" w:sz="8" w:space="0" w:color="000000"/>
            </w:tcBorders>
          </w:tcPr>
          <w:p>
            <w:pPr>
              <w:pStyle w:val="TableParagraph"/>
              <w:spacing w:line="242" w:lineRule="auto" w:before="63"/>
              <w:ind w:left="184" w:right="159"/>
              <w:rPr>
                <w:sz w:val="21"/>
              </w:rPr>
            </w:pPr>
            <w:r>
              <w:rPr>
                <w:sz w:val="21"/>
              </w:rPr>
              <w:t>院校代码</w:t>
            </w:r>
          </w:p>
        </w:tc>
        <w:tc>
          <w:tcPr>
            <w:tcW w:w="788" w:type="dxa"/>
            <w:tcBorders>
              <w:left w:val="single" w:sz="8" w:space="0" w:color="000000"/>
              <w:bottom w:val="single" w:sz="8" w:space="0" w:color="000000"/>
              <w:right w:val="single" w:sz="8" w:space="0" w:color="000000"/>
            </w:tcBorders>
          </w:tcPr>
          <w:p>
            <w:pPr>
              <w:pStyle w:val="TableParagraph"/>
              <w:spacing w:line="242" w:lineRule="auto" w:before="63"/>
              <w:ind w:left="188" w:right="159"/>
              <w:rPr>
                <w:sz w:val="21"/>
              </w:rPr>
            </w:pPr>
            <w:r>
              <w:rPr>
                <w:sz w:val="21"/>
              </w:rPr>
              <w:t>院校名称</w:t>
            </w:r>
          </w:p>
        </w:tc>
        <w:tc>
          <w:tcPr>
            <w:tcW w:w="2558" w:type="dxa"/>
            <w:gridSpan w:val="2"/>
            <w:tcBorders>
              <w:left w:val="single" w:sz="8" w:space="0" w:color="000000"/>
              <w:bottom w:val="single" w:sz="8" w:space="0" w:color="000000"/>
              <w:right w:val="single" w:sz="8" w:space="0" w:color="000000"/>
            </w:tcBorders>
          </w:tcPr>
          <w:p>
            <w:pPr>
              <w:pStyle w:val="TableParagraph"/>
              <w:spacing w:before="7"/>
              <w:rPr>
                <w:b/>
                <w:sz w:val="15"/>
              </w:rPr>
            </w:pPr>
          </w:p>
          <w:p>
            <w:pPr>
              <w:pStyle w:val="TableParagraph"/>
              <w:spacing w:before="1"/>
              <w:ind w:left="1052" w:right="1026"/>
              <w:jc w:val="center"/>
              <w:rPr>
                <w:sz w:val="21"/>
              </w:rPr>
            </w:pPr>
            <w:r>
              <w:rPr>
                <w:sz w:val="21"/>
              </w:rPr>
              <w:t>指标</w:t>
            </w:r>
          </w:p>
        </w:tc>
        <w:tc>
          <w:tcPr>
            <w:tcW w:w="740" w:type="dxa"/>
            <w:tcBorders>
              <w:left w:val="single" w:sz="8" w:space="0" w:color="000000"/>
              <w:bottom w:val="single" w:sz="8" w:space="0" w:color="000000"/>
              <w:right w:val="single" w:sz="8" w:space="0" w:color="000000"/>
            </w:tcBorders>
          </w:tcPr>
          <w:p>
            <w:pPr>
              <w:pStyle w:val="TableParagraph"/>
              <w:spacing w:before="7"/>
              <w:rPr>
                <w:b/>
                <w:sz w:val="15"/>
              </w:rPr>
            </w:pPr>
          </w:p>
          <w:p>
            <w:pPr>
              <w:pStyle w:val="TableParagraph"/>
              <w:spacing w:before="1"/>
              <w:ind w:left="163"/>
              <w:rPr>
                <w:sz w:val="21"/>
              </w:rPr>
            </w:pPr>
            <w:r>
              <w:rPr>
                <w:sz w:val="21"/>
              </w:rPr>
              <w:t>单位</w:t>
            </w:r>
          </w:p>
        </w:tc>
        <w:tc>
          <w:tcPr>
            <w:tcW w:w="891" w:type="dxa"/>
            <w:tcBorders>
              <w:left w:val="single" w:sz="8" w:space="0" w:color="000000"/>
              <w:bottom w:val="single" w:sz="8" w:space="0" w:color="000000"/>
              <w:right w:val="single" w:sz="8" w:space="0" w:color="000000"/>
            </w:tcBorders>
          </w:tcPr>
          <w:p>
            <w:pPr>
              <w:pStyle w:val="TableParagraph"/>
              <w:spacing w:before="7"/>
              <w:rPr>
                <w:b/>
                <w:sz w:val="15"/>
              </w:rPr>
            </w:pPr>
          </w:p>
          <w:p>
            <w:pPr>
              <w:pStyle w:val="TableParagraph"/>
              <w:spacing w:before="1"/>
              <w:ind w:left="112"/>
              <w:rPr>
                <w:sz w:val="21"/>
              </w:rPr>
            </w:pPr>
            <w:r>
              <w:rPr>
                <w:rFonts w:ascii="Times New Roman" w:eastAsia="Times New Roman"/>
                <w:sz w:val="21"/>
              </w:rPr>
              <w:t>2017 </w:t>
            </w:r>
            <w:r>
              <w:rPr>
                <w:sz w:val="21"/>
              </w:rPr>
              <w:t>年</w:t>
            </w:r>
          </w:p>
        </w:tc>
        <w:tc>
          <w:tcPr>
            <w:tcW w:w="992" w:type="dxa"/>
            <w:tcBorders>
              <w:left w:val="single" w:sz="8" w:space="0" w:color="000000"/>
              <w:bottom w:val="single" w:sz="8" w:space="0" w:color="000000"/>
              <w:right w:val="single" w:sz="8" w:space="0" w:color="000000"/>
            </w:tcBorders>
          </w:tcPr>
          <w:p>
            <w:pPr>
              <w:pStyle w:val="TableParagraph"/>
              <w:spacing w:before="7"/>
              <w:rPr>
                <w:b/>
                <w:sz w:val="15"/>
              </w:rPr>
            </w:pPr>
          </w:p>
          <w:p>
            <w:pPr>
              <w:pStyle w:val="TableParagraph"/>
              <w:spacing w:before="1"/>
              <w:ind w:left="160"/>
              <w:rPr>
                <w:sz w:val="21"/>
              </w:rPr>
            </w:pPr>
            <w:r>
              <w:rPr>
                <w:rFonts w:ascii="Times New Roman" w:eastAsia="Times New Roman"/>
                <w:sz w:val="21"/>
              </w:rPr>
              <w:t>2018 </w:t>
            </w:r>
            <w:r>
              <w:rPr>
                <w:sz w:val="21"/>
              </w:rPr>
              <w:t>年</w:t>
            </w:r>
          </w:p>
        </w:tc>
        <w:tc>
          <w:tcPr>
            <w:tcW w:w="2268" w:type="dxa"/>
            <w:tcBorders>
              <w:left w:val="single" w:sz="8" w:space="0" w:color="000000"/>
              <w:bottom w:val="single" w:sz="8" w:space="0" w:color="000000"/>
            </w:tcBorders>
          </w:tcPr>
          <w:p>
            <w:pPr>
              <w:pStyle w:val="TableParagraph"/>
              <w:spacing w:before="7"/>
              <w:rPr>
                <w:b/>
                <w:sz w:val="15"/>
              </w:rPr>
            </w:pPr>
          </w:p>
          <w:p>
            <w:pPr>
              <w:pStyle w:val="TableParagraph"/>
              <w:spacing w:before="1"/>
              <w:ind w:left="906" w:right="877"/>
              <w:jc w:val="center"/>
              <w:rPr>
                <w:sz w:val="21"/>
              </w:rPr>
            </w:pPr>
            <w:r>
              <w:rPr>
                <w:sz w:val="21"/>
              </w:rPr>
              <w:t>备注</w:t>
            </w:r>
          </w:p>
        </w:tc>
      </w:tr>
      <w:tr>
        <w:trPr>
          <w:trHeight w:val="266" w:hRule="atLeast"/>
        </w:trPr>
        <w:tc>
          <w:tcPr>
            <w:tcW w:w="788" w:type="dxa"/>
            <w:tcBorders>
              <w:top w:val="single" w:sz="8" w:space="0" w:color="000000"/>
              <w:bottom w:val="nil"/>
              <w:right w:val="single" w:sz="8" w:space="0" w:color="000000"/>
            </w:tcBorders>
          </w:tcPr>
          <w:p>
            <w:pPr>
              <w:pStyle w:val="TableParagraph"/>
              <w:rPr>
                <w:rFonts w:ascii="Times New Roman"/>
                <w:sz w:val="18"/>
              </w:rPr>
            </w:pPr>
          </w:p>
        </w:tc>
        <w:tc>
          <w:tcPr>
            <w:tcW w:w="788" w:type="dxa"/>
            <w:tcBorders>
              <w:top w:val="single" w:sz="8" w:space="0" w:color="000000"/>
              <w:left w:val="single" w:sz="8" w:space="0" w:color="000000"/>
              <w:bottom w:val="nil"/>
              <w:right w:val="single" w:sz="8" w:space="0" w:color="000000"/>
            </w:tcBorders>
          </w:tcPr>
          <w:p>
            <w:pPr>
              <w:pStyle w:val="TableParagraph"/>
              <w:rPr>
                <w:rFonts w:ascii="Times New Roman"/>
                <w:sz w:val="18"/>
              </w:rPr>
            </w:pPr>
          </w:p>
        </w:tc>
        <w:tc>
          <w:tcPr>
            <w:tcW w:w="45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50"/>
              <w:ind w:left="113"/>
              <w:rPr>
                <w:rFonts w:ascii="Times New Roman"/>
                <w:sz w:val="21"/>
              </w:rPr>
            </w:pPr>
            <w:r>
              <w:rPr>
                <w:rFonts w:ascii="Times New Roman"/>
                <w:w w:val="99"/>
                <w:sz w:val="21"/>
              </w:rPr>
              <w:t>1</w:t>
            </w:r>
          </w:p>
        </w:tc>
        <w:tc>
          <w:tcPr>
            <w:tcW w:w="2106" w:type="dxa"/>
            <w:tcBorders>
              <w:top w:val="single" w:sz="8" w:space="0" w:color="000000"/>
              <w:left w:val="single" w:sz="8" w:space="0" w:color="000000"/>
              <w:bottom w:val="nil"/>
              <w:right w:val="single" w:sz="8" w:space="0" w:color="000000"/>
            </w:tcBorders>
          </w:tcPr>
          <w:p>
            <w:pPr>
              <w:pStyle w:val="TableParagraph"/>
              <w:spacing w:line="246" w:lineRule="exact"/>
              <w:ind w:left="112"/>
              <w:rPr>
                <w:sz w:val="21"/>
              </w:rPr>
            </w:pPr>
            <w:r>
              <w:rPr>
                <w:sz w:val="21"/>
              </w:rPr>
              <w:t>全日制国</w:t>
            </w:r>
            <w:r>
              <w:rPr>
                <w:rFonts w:ascii="Times New Roman" w:eastAsia="Times New Roman"/>
                <w:sz w:val="21"/>
              </w:rPr>
              <w:t>(</w:t>
            </w:r>
            <w:r>
              <w:rPr>
                <w:sz w:val="21"/>
              </w:rPr>
              <w:t>境</w:t>
            </w:r>
            <w:r>
              <w:rPr>
                <w:rFonts w:ascii="Times New Roman" w:eastAsia="Times New Roman"/>
                <w:sz w:val="21"/>
              </w:rPr>
              <w:t>)</w:t>
            </w:r>
            <w:r>
              <w:rPr>
                <w:sz w:val="21"/>
              </w:rPr>
              <w:t>外留学</w:t>
            </w:r>
          </w:p>
        </w:tc>
        <w:tc>
          <w:tcPr>
            <w:tcW w:w="740"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4"/>
              <w:ind w:left="111"/>
              <w:rPr>
                <w:sz w:val="21"/>
              </w:rPr>
            </w:pPr>
            <w:r>
              <w:rPr>
                <w:w w:val="99"/>
                <w:sz w:val="21"/>
              </w:rPr>
              <w:t>人</w:t>
            </w:r>
          </w:p>
        </w:tc>
        <w:tc>
          <w:tcPr>
            <w:tcW w:w="89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50"/>
              <w:ind w:left="112"/>
              <w:rPr>
                <w:rFonts w:ascii="Times New Roman"/>
                <w:sz w:val="21"/>
              </w:rPr>
            </w:pPr>
            <w:r>
              <w:rPr>
                <w:rFonts w:ascii="Times New Roman"/>
                <w:w w:val="99"/>
                <w:sz w:val="21"/>
              </w:rPr>
              <w:t>0</w:t>
            </w:r>
          </w:p>
        </w:tc>
        <w:tc>
          <w:tcPr>
            <w:tcW w:w="99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50"/>
              <w:ind w:left="112"/>
              <w:rPr>
                <w:rFonts w:ascii="Times New Roman"/>
                <w:sz w:val="21"/>
              </w:rPr>
            </w:pPr>
            <w:r>
              <w:rPr>
                <w:rFonts w:ascii="Times New Roman"/>
                <w:sz w:val="21"/>
              </w:rPr>
              <w:t>56</w:t>
            </w:r>
          </w:p>
        </w:tc>
        <w:tc>
          <w:tcPr>
            <w:tcW w:w="2268" w:type="dxa"/>
            <w:vMerge w:val="restart"/>
            <w:tcBorders>
              <w:top w:val="single" w:sz="8" w:space="0" w:color="000000"/>
              <w:left w:val="single" w:sz="8" w:space="0" w:color="000000"/>
              <w:bottom w:val="single" w:sz="8" w:space="0" w:color="000000"/>
            </w:tcBorders>
          </w:tcPr>
          <w:p>
            <w:pPr>
              <w:pStyle w:val="TableParagraph"/>
              <w:spacing w:before="134"/>
              <w:ind w:left="111"/>
              <w:rPr>
                <w:sz w:val="21"/>
              </w:rPr>
            </w:pPr>
            <w:r>
              <w:rPr>
                <w:sz w:val="21"/>
              </w:rPr>
              <w:t>——</w:t>
            </w:r>
          </w:p>
        </w:tc>
      </w:tr>
      <w:tr>
        <w:trPr>
          <w:trHeight w:val="257" w:hRule="atLeast"/>
        </w:trPr>
        <w:tc>
          <w:tcPr>
            <w:tcW w:w="788" w:type="dxa"/>
            <w:tcBorders>
              <w:top w:val="nil"/>
              <w:bottom w:val="nil"/>
              <w:right w:val="single" w:sz="8" w:space="0" w:color="000000"/>
            </w:tcBorders>
          </w:tcPr>
          <w:p>
            <w:pPr>
              <w:pStyle w:val="TableParagraph"/>
              <w:rPr>
                <w:rFonts w:ascii="Times New Roman"/>
                <w:sz w:val="18"/>
              </w:rPr>
            </w:pPr>
          </w:p>
        </w:tc>
        <w:tc>
          <w:tcPr>
            <w:tcW w:w="788" w:type="dxa"/>
            <w:tcBorders>
              <w:top w:val="nil"/>
              <w:left w:val="single" w:sz="8" w:space="0" w:color="000000"/>
              <w:bottom w:val="nil"/>
              <w:right w:val="single" w:sz="8" w:space="0" w:color="000000"/>
            </w:tcBorders>
          </w:tcPr>
          <w:p>
            <w:pPr>
              <w:pStyle w:val="TableParagraph"/>
              <w:rPr>
                <w:rFonts w:ascii="Times New Roman"/>
                <w:sz w:val="18"/>
              </w:rPr>
            </w:pPr>
          </w:p>
        </w:tc>
        <w:tc>
          <w:tcPr>
            <w:tcW w:w="452" w:type="dxa"/>
            <w:vMerge/>
            <w:tcBorders>
              <w:top w:val="nil"/>
              <w:left w:val="single" w:sz="8" w:space="0" w:color="000000"/>
              <w:bottom w:val="single" w:sz="8" w:space="0" w:color="000000"/>
              <w:right w:val="single" w:sz="8" w:space="0" w:color="000000"/>
            </w:tcBorders>
          </w:tcPr>
          <w:p>
            <w:pPr>
              <w:rPr>
                <w:sz w:val="2"/>
                <w:szCs w:val="2"/>
              </w:rPr>
            </w:pPr>
          </w:p>
        </w:tc>
        <w:tc>
          <w:tcPr>
            <w:tcW w:w="2106" w:type="dxa"/>
            <w:tcBorders>
              <w:top w:val="nil"/>
              <w:left w:val="single" w:sz="8" w:space="0" w:color="000000"/>
              <w:bottom w:val="single" w:sz="8" w:space="0" w:color="000000"/>
              <w:right w:val="single" w:sz="8" w:space="0" w:color="000000"/>
            </w:tcBorders>
          </w:tcPr>
          <w:p>
            <w:pPr>
              <w:pStyle w:val="TableParagraph"/>
              <w:spacing w:line="238" w:lineRule="exact"/>
              <w:ind w:left="112"/>
              <w:rPr>
                <w:rFonts w:ascii="Times New Roman" w:eastAsia="Times New Roman"/>
                <w:sz w:val="21"/>
              </w:rPr>
            </w:pPr>
            <w:r>
              <w:rPr>
                <w:sz w:val="21"/>
              </w:rPr>
              <w:t>生人数</w:t>
            </w:r>
            <w:r>
              <w:rPr>
                <w:rFonts w:ascii="Times New Roman" w:eastAsia="Times New Roman"/>
                <w:sz w:val="21"/>
              </w:rPr>
              <w:t>(</w:t>
            </w:r>
            <w:r>
              <w:rPr>
                <w:sz w:val="21"/>
              </w:rPr>
              <w:t>一年以上</w:t>
            </w:r>
            <w:r>
              <w:rPr>
                <w:rFonts w:ascii="Times New Roman" w:eastAsia="Times New Roman"/>
                <w:sz w:val="21"/>
              </w:rPr>
              <w:t>)</w:t>
            </w:r>
          </w:p>
        </w:tc>
        <w:tc>
          <w:tcPr>
            <w:tcW w:w="740" w:type="dxa"/>
            <w:vMerge/>
            <w:tcBorders>
              <w:top w:val="nil"/>
              <w:left w:val="single" w:sz="8" w:space="0" w:color="000000"/>
              <w:bottom w:val="single" w:sz="8" w:space="0" w:color="000000"/>
              <w:right w:val="single" w:sz="8" w:space="0" w:color="000000"/>
            </w:tcBorders>
          </w:tcPr>
          <w:p>
            <w:pPr>
              <w:rPr>
                <w:sz w:val="2"/>
                <w:szCs w:val="2"/>
              </w:rPr>
            </w:pPr>
          </w:p>
        </w:tc>
        <w:tc>
          <w:tcPr>
            <w:tcW w:w="891" w:type="dxa"/>
            <w:vMerge/>
            <w:tcBorders>
              <w:top w:val="nil"/>
              <w:left w:val="single" w:sz="8" w:space="0" w:color="000000"/>
              <w:bottom w:val="single" w:sz="8" w:space="0" w:color="000000"/>
              <w:right w:val="single" w:sz="8" w:space="0" w:color="000000"/>
            </w:tcBorders>
          </w:tcPr>
          <w:p>
            <w:pPr>
              <w:rPr>
                <w:sz w:val="2"/>
                <w:szCs w:val="2"/>
              </w:rPr>
            </w:pPr>
          </w:p>
        </w:tc>
        <w:tc>
          <w:tcPr>
            <w:tcW w:w="992" w:type="dxa"/>
            <w:vMerge/>
            <w:tcBorders>
              <w:top w:val="nil"/>
              <w:left w:val="single" w:sz="8" w:space="0" w:color="000000"/>
              <w:bottom w:val="single" w:sz="8" w:space="0" w:color="000000"/>
              <w:right w:val="single" w:sz="8" w:space="0" w:color="000000"/>
            </w:tcBorders>
          </w:tcPr>
          <w:p>
            <w:pPr>
              <w:rPr>
                <w:sz w:val="2"/>
                <w:szCs w:val="2"/>
              </w:rPr>
            </w:pPr>
          </w:p>
        </w:tc>
        <w:tc>
          <w:tcPr>
            <w:tcW w:w="2268" w:type="dxa"/>
            <w:vMerge/>
            <w:tcBorders>
              <w:top w:val="nil"/>
              <w:left w:val="single" w:sz="8" w:space="0" w:color="000000"/>
              <w:bottom w:val="single" w:sz="8" w:space="0" w:color="000000"/>
            </w:tcBorders>
          </w:tcPr>
          <w:p>
            <w:pPr>
              <w:rPr>
                <w:sz w:val="2"/>
                <w:szCs w:val="2"/>
              </w:rPr>
            </w:pPr>
          </w:p>
        </w:tc>
      </w:tr>
      <w:tr>
        <w:trPr>
          <w:trHeight w:val="270" w:hRule="atLeast"/>
        </w:trPr>
        <w:tc>
          <w:tcPr>
            <w:tcW w:w="788" w:type="dxa"/>
            <w:tcBorders>
              <w:top w:val="nil"/>
              <w:bottom w:val="nil"/>
              <w:right w:val="single" w:sz="8" w:space="0" w:color="000000"/>
            </w:tcBorders>
          </w:tcPr>
          <w:p>
            <w:pPr>
              <w:pStyle w:val="TableParagraph"/>
              <w:rPr>
                <w:rFonts w:ascii="Times New Roman"/>
                <w:sz w:val="20"/>
              </w:rPr>
            </w:pPr>
          </w:p>
        </w:tc>
        <w:tc>
          <w:tcPr>
            <w:tcW w:w="788" w:type="dxa"/>
            <w:tcBorders>
              <w:top w:val="nil"/>
              <w:left w:val="single" w:sz="8" w:space="0" w:color="000000"/>
              <w:bottom w:val="nil"/>
              <w:right w:val="single" w:sz="8" w:space="0" w:color="000000"/>
            </w:tcBorders>
          </w:tcPr>
          <w:p>
            <w:pPr>
              <w:pStyle w:val="TableParagraph"/>
              <w:spacing w:line="241" w:lineRule="exact" w:before="9"/>
              <w:ind w:left="111"/>
              <w:rPr>
                <w:sz w:val="21"/>
              </w:rPr>
            </w:pPr>
            <w:r>
              <w:rPr>
                <w:sz w:val="21"/>
              </w:rPr>
              <w:t>湖 南</w:t>
            </w:r>
          </w:p>
        </w:tc>
        <w:tc>
          <w:tcPr>
            <w:tcW w:w="45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50"/>
              <w:ind w:left="113"/>
              <w:rPr>
                <w:rFonts w:ascii="Times New Roman"/>
                <w:sz w:val="21"/>
              </w:rPr>
            </w:pPr>
            <w:r>
              <w:rPr>
                <w:rFonts w:ascii="Times New Roman"/>
                <w:w w:val="99"/>
                <w:sz w:val="21"/>
              </w:rPr>
              <w:t>2</w:t>
            </w:r>
          </w:p>
        </w:tc>
        <w:tc>
          <w:tcPr>
            <w:tcW w:w="2106" w:type="dxa"/>
            <w:tcBorders>
              <w:top w:val="single" w:sz="8" w:space="0" w:color="000000"/>
              <w:left w:val="single" w:sz="8" w:space="0" w:color="000000"/>
              <w:bottom w:val="nil"/>
              <w:right w:val="single" w:sz="8" w:space="0" w:color="000000"/>
            </w:tcBorders>
          </w:tcPr>
          <w:p>
            <w:pPr>
              <w:pStyle w:val="TableParagraph"/>
              <w:spacing w:line="248" w:lineRule="exact" w:before="2"/>
              <w:ind w:left="112"/>
              <w:rPr>
                <w:sz w:val="21"/>
              </w:rPr>
            </w:pPr>
            <w:r>
              <w:rPr>
                <w:sz w:val="21"/>
              </w:rPr>
              <w:t>非全日制国</w:t>
            </w:r>
            <w:r>
              <w:rPr>
                <w:rFonts w:ascii="Times New Roman" w:eastAsia="Times New Roman"/>
                <w:sz w:val="21"/>
              </w:rPr>
              <w:t>(</w:t>
            </w:r>
            <w:r>
              <w:rPr>
                <w:sz w:val="21"/>
              </w:rPr>
              <w:t>境</w:t>
            </w:r>
            <w:r>
              <w:rPr>
                <w:rFonts w:ascii="Times New Roman" w:eastAsia="Times New Roman"/>
                <w:sz w:val="21"/>
              </w:rPr>
              <w:t>)</w:t>
            </w:r>
            <w:r>
              <w:rPr>
                <w:sz w:val="21"/>
              </w:rPr>
              <w:t>外人</w:t>
            </w:r>
          </w:p>
        </w:tc>
        <w:tc>
          <w:tcPr>
            <w:tcW w:w="740"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6"/>
              <w:ind w:left="111"/>
              <w:rPr>
                <w:sz w:val="21"/>
              </w:rPr>
            </w:pPr>
            <w:r>
              <w:rPr>
                <w:sz w:val="21"/>
              </w:rPr>
              <w:t>人日</w:t>
            </w:r>
          </w:p>
        </w:tc>
        <w:tc>
          <w:tcPr>
            <w:tcW w:w="89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50"/>
              <w:ind w:left="112"/>
              <w:rPr>
                <w:rFonts w:ascii="Times New Roman"/>
                <w:sz w:val="21"/>
              </w:rPr>
            </w:pPr>
            <w:r>
              <w:rPr>
                <w:rFonts w:ascii="Times New Roman"/>
                <w:sz w:val="21"/>
              </w:rPr>
              <w:t>75</w:t>
            </w:r>
          </w:p>
        </w:tc>
        <w:tc>
          <w:tcPr>
            <w:tcW w:w="99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50"/>
              <w:ind w:left="112"/>
              <w:rPr>
                <w:rFonts w:ascii="Times New Roman"/>
                <w:sz w:val="21"/>
              </w:rPr>
            </w:pPr>
            <w:r>
              <w:rPr>
                <w:rFonts w:ascii="Times New Roman"/>
                <w:sz w:val="21"/>
              </w:rPr>
              <w:t>1153</w:t>
            </w:r>
          </w:p>
        </w:tc>
        <w:tc>
          <w:tcPr>
            <w:tcW w:w="2268" w:type="dxa"/>
            <w:vMerge w:val="restart"/>
            <w:tcBorders>
              <w:top w:val="single" w:sz="8" w:space="0" w:color="000000"/>
              <w:left w:val="single" w:sz="8" w:space="0" w:color="000000"/>
              <w:bottom w:val="single" w:sz="8" w:space="0" w:color="000000"/>
            </w:tcBorders>
          </w:tcPr>
          <w:p>
            <w:pPr>
              <w:pStyle w:val="TableParagraph"/>
              <w:spacing w:before="136"/>
              <w:ind w:left="111"/>
              <w:rPr>
                <w:sz w:val="21"/>
              </w:rPr>
            </w:pPr>
            <w:r>
              <w:rPr>
                <w:sz w:val="21"/>
              </w:rPr>
              <w:t>——</w:t>
            </w:r>
          </w:p>
        </w:tc>
      </w:tr>
      <w:tr>
        <w:trPr>
          <w:trHeight w:val="254" w:hRule="atLeast"/>
        </w:trPr>
        <w:tc>
          <w:tcPr>
            <w:tcW w:w="788" w:type="dxa"/>
            <w:tcBorders>
              <w:top w:val="nil"/>
              <w:bottom w:val="nil"/>
              <w:right w:val="single" w:sz="8" w:space="0" w:color="000000"/>
            </w:tcBorders>
          </w:tcPr>
          <w:p>
            <w:pPr>
              <w:pStyle w:val="TableParagraph"/>
              <w:rPr>
                <w:rFonts w:ascii="Times New Roman"/>
                <w:sz w:val="18"/>
              </w:rPr>
            </w:pPr>
          </w:p>
        </w:tc>
        <w:tc>
          <w:tcPr>
            <w:tcW w:w="788" w:type="dxa"/>
            <w:tcBorders>
              <w:top w:val="nil"/>
              <w:left w:val="single" w:sz="8" w:space="0" w:color="000000"/>
              <w:bottom w:val="nil"/>
              <w:right w:val="single" w:sz="8" w:space="0" w:color="000000"/>
            </w:tcBorders>
          </w:tcPr>
          <w:p>
            <w:pPr>
              <w:pStyle w:val="TableParagraph"/>
              <w:spacing w:line="234" w:lineRule="exact"/>
              <w:ind w:left="111"/>
              <w:rPr>
                <w:sz w:val="21"/>
              </w:rPr>
            </w:pPr>
            <w:r>
              <w:rPr>
                <w:sz w:val="21"/>
              </w:rPr>
              <w:t>化 工</w:t>
            </w:r>
          </w:p>
        </w:tc>
        <w:tc>
          <w:tcPr>
            <w:tcW w:w="452" w:type="dxa"/>
            <w:vMerge/>
            <w:tcBorders>
              <w:top w:val="nil"/>
              <w:left w:val="single" w:sz="8" w:space="0" w:color="000000"/>
              <w:bottom w:val="single" w:sz="8" w:space="0" w:color="000000"/>
              <w:right w:val="single" w:sz="8" w:space="0" w:color="000000"/>
            </w:tcBorders>
          </w:tcPr>
          <w:p>
            <w:pPr>
              <w:rPr>
                <w:sz w:val="2"/>
                <w:szCs w:val="2"/>
              </w:rPr>
            </w:pPr>
          </w:p>
        </w:tc>
        <w:tc>
          <w:tcPr>
            <w:tcW w:w="2106" w:type="dxa"/>
            <w:tcBorders>
              <w:top w:val="nil"/>
              <w:left w:val="single" w:sz="8" w:space="0" w:color="000000"/>
              <w:bottom w:val="single" w:sz="8" w:space="0" w:color="000000"/>
              <w:right w:val="single" w:sz="8" w:space="0" w:color="000000"/>
            </w:tcBorders>
          </w:tcPr>
          <w:p>
            <w:pPr>
              <w:pStyle w:val="TableParagraph"/>
              <w:spacing w:line="234" w:lineRule="exact"/>
              <w:ind w:left="112"/>
              <w:rPr>
                <w:sz w:val="21"/>
              </w:rPr>
            </w:pPr>
            <w:r>
              <w:rPr>
                <w:sz w:val="21"/>
              </w:rPr>
              <w:t>员培训量</w:t>
            </w:r>
          </w:p>
        </w:tc>
        <w:tc>
          <w:tcPr>
            <w:tcW w:w="740" w:type="dxa"/>
            <w:vMerge/>
            <w:tcBorders>
              <w:top w:val="nil"/>
              <w:left w:val="single" w:sz="8" w:space="0" w:color="000000"/>
              <w:bottom w:val="single" w:sz="8" w:space="0" w:color="000000"/>
              <w:right w:val="single" w:sz="8" w:space="0" w:color="000000"/>
            </w:tcBorders>
          </w:tcPr>
          <w:p>
            <w:pPr>
              <w:rPr>
                <w:sz w:val="2"/>
                <w:szCs w:val="2"/>
              </w:rPr>
            </w:pPr>
          </w:p>
        </w:tc>
        <w:tc>
          <w:tcPr>
            <w:tcW w:w="891" w:type="dxa"/>
            <w:vMerge/>
            <w:tcBorders>
              <w:top w:val="nil"/>
              <w:left w:val="single" w:sz="8" w:space="0" w:color="000000"/>
              <w:bottom w:val="single" w:sz="8" w:space="0" w:color="000000"/>
              <w:right w:val="single" w:sz="8" w:space="0" w:color="000000"/>
            </w:tcBorders>
          </w:tcPr>
          <w:p>
            <w:pPr>
              <w:rPr>
                <w:sz w:val="2"/>
                <w:szCs w:val="2"/>
              </w:rPr>
            </w:pPr>
          </w:p>
        </w:tc>
        <w:tc>
          <w:tcPr>
            <w:tcW w:w="992" w:type="dxa"/>
            <w:vMerge/>
            <w:tcBorders>
              <w:top w:val="nil"/>
              <w:left w:val="single" w:sz="8" w:space="0" w:color="000000"/>
              <w:bottom w:val="single" w:sz="8" w:space="0" w:color="000000"/>
              <w:right w:val="single" w:sz="8" w:space="0" w:color="000000"/>
            </w:tcBorders>
          </w:tcPr>
          <w:p>
            <w:pPr>
              <w:rPr>
                <w:sz w:val="2"/>
                <w:szCs w:val="2"/>
              </w:rPr>
            </w:pPr>
          </w:p>
        </w:tc>
        <w:tc>
          <w:tcPr>
            <w:tcW w:w="2268" w:type="dxa"/>
            <w:vMerge/>
            <w:tcBorders>
              <w:top w:val="nil"/>
              <w:left w:val="single" w:sz="8" w:space="0" w:color="000000"/>
              <w:bottom w:val="single" w:sz="8" w:space="0" w:color="000000"/>
            </w:tcBorders>
          </w:tcPr>
          <w:p>
            <w:pPr>
              <w:rPr>
                <w:sz w:val="2"/>
                <w:szCs w:val="2"/>
              </w:rPr>
            </w:pPr>
          </w:p>
        </w:tc>
      </w:tr>
      <w:tr>
        <w:trPr>
          <w:trHeight w:val="268" w:hRule="atLeast"/>
        </w:trPr>
        <w:tc>
          <w:tcPr>
            <w:tcW w:w="788" w:type="dxa"/>
            <w:tcBorders>
              <w:top w:val="nil"/>
              <w:bottom w:val="nil"/>
              <w:right w:val="single" w:sz="8" w:space="0" w:color="000000"/>
            </w:tcBorders>
          </w:tcPr>
          <w:p>
            <w:pPr>
              <w:pStyle w:val="TableParagraph"/>
              <w:spacing w:before="3"/>
              <w:ind w:left="107"/>
              <w:rPr>
                <w:rFonts w:ascii="Times New Roman"/>
                <w:sz w:val="21"/>
              </w:rPr>
            </w:pPr>
            <w:r>
              <w:rPr>
                <w:rFonts w:ascii="Times New Roman"/>
                <w:sz w:val="21"/>
              </w:rPr>
              <w:t>13043</w:t>
            </w:r>
          </w:p>
        </w:tc>
        <w:tc>
          <w:tcPr>
            <w:tcW w:w="788" w:type="dxa"/>
            <w:tcBorders>
              <w:top w:val="nil"/>
              <w:left w:val="single" w:sz="8" w:space="0" w:color="000000"/>
              <w:bottom w:val="nil"/>
              <w:right w:val="single" w:sz="8" w:space="0" w:color="000000"/>
            </w:tcBorders>
          </w:tcPr>
          <w:p>
            <w:pPr>
              <w:pStyle w:val="TableParagraph"/>
              <w:spacing w:line="249" w:lineRule="exact"/>
              <w:ind w:left="111"/>
              <w:rPr>
                <w:sz w:val="21"/>
              </w:rPr>
            </w:pPr>
            <w:r>
              <w:rPr>
                <w:sz w:val="21"/>
              </w:rPr>
              <w:t>职 业</w:t>
            </w:r>
          </w:p>
        </w:tc>
        <w:tc>
          <w:tcPr>
            <w:tcW w:w="452" w:type="dxa"/>
            <w:tcBorders>
              <w:top w:val="single" w:sz="8" w:space="0" w:color="000000"/>
              <w:left w:val="single" w:sz="8" w:space="0" w:color="000000"/>
              <w:bottom w:val="nil"/>
              <w:right w:val="single" w:sz="8" w:space="0" w:color="000000"/>
            </w:tcBorders>
          </w:tcPr>
          <w:p>
            <w:pPr>
              <w:pStyle w:val="TableParagraph"/>
              <w:rPr>
                <w:rFonts w:ascii="Times New Roman"/>
                <w:sz w:val="18"/>
              </w:rPr>
            </w:pPr>
          </w:p>
        </w:tc>
        <w:tc>
          <w:tcPr>
            <w:tcW w:w="2106" w:type="dxa"/>
            <w:tcBorders>
              <w:top w:val="single" w:sz="8" w:space="0" w:color="000000"/>
              <w:left w:val="single" w:sz="8" w:space="0" w:color="000000"/>
              <w:bottom w:val="nil"/>
              <w:right w:val="single" w:sz="8" w:space="0" w:color="000000"/>
            </w:tcBorders>
          </w:tcPr>
          <w:p>
            <w:pPr>
              <w:pStyle w:val="TableParagraph"/>
              <w:spacing w:line="248" w:lineRule="exact" w:before="1"/>
              <w:ind w:left="112" w:right="-29"/>
              <w:rPr>
                <w:sz w:val="21"/>
              </w:rPr>
            </w:pPr>
            <w:r>
              <w:rPr>
                <w:spacing w:val="-12"/>
                <w:sz w:val="21"/>
              </w:rPr>
              <w:t>在校生服务“走出去”</w:t>
            </w:r>
          </w:p>
        </w:tc>
        <w:tc>
          <w:tcPr>
            <w:tcW w:w="740" w:type="dxa"/>
            <w:tcBorders>
              <w:top w:val="single" w:sz="8" w:space="0" w:color="000000"/>
              <w:left w:val="single" w:sz="8" w:space="0" w:color="000000"/>
              <w:bottom w:val="nil"/>
              <w:right w:val="single" w:sz="8" w:space="0" w:color="000000"/>
            </w:tcBorders>
          </w:tcPr>
          <w:p>
            <w:pPr>
              <w:pStyle w:val="TableParagraph"/>
              <w:rPr>
                <w:rFonts w:ascii="Times New Roman"/>
                <w:sz w:val="18"/>
              </w:rPr>
            </w:pPr>
          </w:p>
        </w:tc>
        <w:tc>
          <w:tcPr>
            <w:tcW w:w="891" w:type="dxa"/>
            <w:tcBorders>
              <w:top w:val="single" w:sz="8" w:space="0" w:color="000000"/>
              <w:left w:val="single" w:sz="8" w:space="0" w:color="000000"/>
              <w:bottom w:val="nil"/>
              <w:right w:val="single" w:sz="8" w:space="0" w:color="000000"/>
            </w:tcBorders>
          </w:tcPr>
          <w:p>
            <w:pPr>
              <w:pStyle w:val="TableParagraph"/>
              <w:rPr>
                <w:rFonts w:ascii="Times New Roman"/>
                <w:sz w:val="18"/>
              </w:rPr>
            </w:pPr>
          </w:p>
        </w:tc>
        <w:tc>
          <w:tcPr>
            <w:tcW w:w="992" w:type="dxa"/>
            <w:tcBorders>
              <w:top w:val="single" w:sz="8" w:space="0" w:color="000000"/>
              <w:left w:val="single" w:sz="8" w:space="0" w:color="000000"/>
              <w:bottom w:val="nil"/>
              <w:right w:val="single" w:sz="8" w:space="0" w:color="000000"/>
            </w:tcBorders>
          </w:tcPr>
          <w:p>
            <w:pPr>
              <w:pStyle w:val="TableParagraph"/>
              <w:rPr>
                <w:rFonts w:ascii="Times New Roman"/>
                <w:sz w:val="18"/>
              </w:rPr>
            </w:pPr>
          </w:p>
        </w:tc>
        <w:tc>
          <w:tcPr>
            <w:tcW w:w="2268" w:type="dxa"/>
            <w:tcBorders>
              <w:top w:val="single" w:sz="8" w:space="0" w:color="000000"/>
              <w:left w:val="single" w:sz="8" w:space="0" w:color="000000"/>
              <w:bottom w:val="nil"/>
            </w:tcBorders>
          </w:tcPr>
          <w:p>
            <w:pPr>
              <w:pStyle w:val="TableParagraph"/>
              <w:rPr>
                <w:rFonts w:ascii="Times New Roman"/>
                <w:sz w:val="18"/>
              </w:rPr>
            </w:pPr>
          </w:p>
        </w:tc>
      </w:tr>
      <w:tr>
        <w:trPr>
          <w:trHeight w:val="277" w:hRule="atLeast"/>
        </w:trPr>
        <w:tc>
          <w:tcPr>
            <w:tcW w:w="788" w:type="dxa"/>
            <w:tcBorders>
              <w:top w:val="nil"/>
              <w:bottom w:val="nil"/>
              <w:right w:val="single" w:sz="8" w:space="0" w:color="000000"/>
            </w:tcBorders>
          </w:tcPr>
          <w:p>
            <w:pPr>
              <w:pStyle w:val="TableParagraph"/>
              <w:rPr>
                <w:rFonts w:ascii="Times New Roman"/>
                <w:sz w:val="20"/>
              </w:rPr>
            </w:pPr>
          </w:p>
        </w:tc>
        <w:tc>
          <w:tcPr>
            <w:tcW w:w="788" w:type="dxa"/>
            <w:tcBorders>
              <w:top w:val="nil"/>
              <w:left w:val="single" w:sz="8" w:space="0" w:color="000000"/>
              <w:bottom w:val="nil"/>
              <w:right w:val="single" w:sz="8" w:space="0" w:color="000000"/>
            </w:tcBorders>
          </w:tcPr>
          <w:p>
            <w:pPr>
              <w:pStyle w:val="TableParagraph"/>
              <w:spacing w:line="257" w:lineRule="exact"/>
              <w:ind w:left="111"/>
              <w:rPr>
                <w:sz w:val="21"/>
              </w:rPr>
            </w:pPr>
            <w:r>
              <w:rPr>
                <w:sz w:val="21"/>
              </w:rPr>
              <w:t>技 术</w:t>
            </w:r>
          </w:p>
        </w:tc>
        <w:tc>
          <w:tcPr>
            <w:tcW w:w="452" w:type="dxa"/>
            <w:tcBorders>
              <w:top w:val="nil"/>
              <w:left w:val="single" w:sz="8" w:space="0" w:color="000000"/>
              <w:bottom w:val="nil"/>
              <w:right w:val="single" w:sz="8" w:space="0" w:color="000000"/>
            </w:tcBorders>
          </w:tcPr>
          <w:p>
            <w:pPr>
              <w:pStyle w:val="TableParagraph"/>
              <w:spacing w:line="240" w:lineRule="exact" w:before="17"/>
              <w:ind w:left="113"/>
              <w:rPr>
                <w:rFonts w:ascii="Times New Roman"/>
                <w:sz w:val="21"/>
              </w:rPr>
            </w:pPr>
            <w:r>
              <w:rPr>
                <w:rFonts w:ascii="Times New Roman"/>
                <w:w w:val="99"/>
                <w:sz w:val="21"/>
              </w:rPr>
              <w:t>3</w:t>
            </w:r>
          </w:p>
        </w:tc>
        <w:tc>
          <w:tcPr>
            <w:tcW w:w="2106" w:type="dxa"/>
            <w:tcBorders>
              <w:top w:val="nil"/>
              <w:left w:val="single" w:sz="8" w:space="0" w:color="000000"/>
              <w:bottom w:val="nil"/>
              <w:right w:val="single" w:sz="8" w:space="0" w:color="000000"/>
            </w:tcBorders>
          </w:tcPr>
          <w:p>
            <w:pPr>
              <w:pStyle w:val="TableParagraph"/>
              <w:spacing w:line="254" w:lineRule="exact" w:before="3"/>
              <w:ind w:left="112"/>
              <w:rPr>
                <w:sz w:val="21"/>
              </w:rPr>
            </w:pPr>
            <w:r>
              <w:rPr>
                <w:sz w:val="21"/>
              </w:rPr>
              <w:t>企业国</w:t>
            </w:r>
            <w:r>
              <w:rPr>
                <w:rFonts w:ascii="Times New Roman" w:eastAsia="Times New Roman"/>
                <w:sz w:val="21"/>
              </w:rPr>
              <w:t>(</w:t>
            </w:r>
            <w:r>
              <w:rPr>
                <w:sz w:val="21"/>
              </w:rPr>
              <w:t>境</w:t>
            </w:r>
            <w:r>
              <w:rPr>
                <w:rFonts w:ascii="Times New Roman" w:eastAsia="Times New Roman"/>
                <w:sz w:val="21"/>
              </w:rPr>
              <w:t>)</w:t>
            </w:r>
            <w:r>
              <w:rPr>
                <w:sz w:val="21"/>
              </w:rPr>
              <w:t>外实习时</w:t>
            </w:r>
          </w:p>
        </w:tc>
        <w:tc>
          <w:tcPr>
            <w:tcW w:w="740" w:type="dxa"/>
            <w:tcBorders>
              <w:top w:val="nil"/>
              <w:left w:val="single" w:sz="8" w:space="0" w:color="000000"/>
              <w:bottom w:val="nil"/>
              <w:right w:val="single" w:sz="8" w:space="0" w:color="000000"/>
            </w:tcBorders>
          </w:tcPr>
          <w:p>
            <w:pPr>
              <w:pStyle w:val="TableParagraph"/>
              <w:spacing w:line="254" w:lineRule="exact" w:before="3"/>
              <w:ind w:left="111"/>
              <w:rPr>
                <w:sz w:val="21"/>
              </w:rPr>
            </w:pPr>
            <w:r>
              <w:rPr>
                <w:sz w:val="21"/>
              </w:rPr>
              <w:t>人日</w:t>
            </w:r>
          </w:p>
        </w:tc>
        <w:tc>
          <w:tcPr>
            <w:tcW w:w="891" w:type="dxa"/>
            <w:tcBorders>
              <w:top w:val="nil"/>
              <w:left w:val="single" w:sz="8" w:space="0" w:color="000000"/>
              <w:bottom w:val="nil"/>
              <w:right w:val="single" w:sz="8" w:space="0" w:color="000000"/>
            </w:tcBorders>
          </w:tcPr>
          <w:p>
            <w:pPr>
              <w:pStyle w:val="TableParagraph"/>
              <w:spacing w:line="240" w:lineRule="exact" w:before="17"/>
              <w:ind w:left="112"/>
              <w:rPr>
                <w:rFonts w:ascii="Times New Roman"/>
                <w:sz w:val="21"/>
              </w:rPr>
            </w:pPr>
            <w:r>
              <w:rPr>
                <w:rFonts w:ascii="Times New Roman"/>
                <w:sz w:val="21"/>
              </w:rPr>
              <w:t>405</w:t>
            </w:r>
          </w:p>
        </w:tc>
        <w:tc>
          <w:tcPr>
            <w:tcW w:w="992" w:type="dxa"/>
            <w:tcBorders>
              <w:top w:val="nil"/>
              <w:left w:val="single" w:sz="8" w:space="0" w:color="000000"/>
              <w:bottom w:val="nil"/>
              <w:right w:val="single" w:sz="8" w:space="0" w:color="000000"/>
            </w:tcBorders>
          </w:tcPr>
          <w:p>
            <w:pPr>
              <w:pStyle w:val="TableParagraph"/>
              <w:spacing w:line="240" w:lineRule="exact" w:before="17"/>
              <w:ind w:left="112"/>
              <w:rPr>
                <w:rFonts w:ascii="Times New Roman"/>
                <w:sz w:val="21"/>
              </w:rPr>
            </w:pPr>
            <w:r>
              <w:rPr>
                <w:rFonts w:ascii="Times New Roman"/>
                <w:sz w:val="21"/>
              </w:rPr>
              <w:t>1297</w:t>
            </w:r>
          </w:p>
        </w:tc>
        <w:tc>
          <w:tcPr>
            <w:tcW w:w="2268" w:type="dxa"/>
            <w:tcBorders>
              <w:top w:val="nil"/>
              <w:left w:val="single" w:sz="8" w:space="0" w:color="000000"/>
              <w:bottom w:val="nil"/>
            </w:tcBorders>
          </w:tcPr>
          <w:p>
            <w:pPr>
              <w:pStyle w:val="TableParagraph"/>
              <w:spacing w:line="254" w:lineRule="exact" w:before="3"/>
              <w:ind w:left="111"/>
              <w:rPr>
                <w:sz w:val="21"/>
              </w:rPr>
            </w:pPr>
            <w:r>
              <w:rPr>
                <w:sz w:val="21"/>
              </w:rPr>
              <w:t>——</w:t>
            </w:r>
          </w:p>
        </w:tc>
      </w:tr>
      <w:tr>
        <w:trPr>
          <w:trHeight w:val="271" w:hRule="atLeast"/>
        </w:trPr>
        <w:tc>
          <w:tcPr>
            <w:tcW w:w="788" w:type="dxa"/>
            <w:tcBorders>
              <w:top w:val="nil"/>
              <w:bottom w:val="nil"/>
              <w:right w:val="single" w:sz="8" w:space="0" w:color="000000"/>
            </w:tcBorders>
          </w:tcPr>
          <w:p>
            <w:pPr>
              <w:pStyle w:val="TableParagraph"/>
              <w:rPr>
                <w:rFonts w:ascii="Times New Roman"/>
                <w:sz w:val="20"/>
              </w:rPr>
            </w:pPr>
          </w:p>
        </w:tc>
        <w:tc>
          <w:tcPr>
            <w:tcW w:w="788" w:type="dxa"/>
            <w:tcBorders>
              <w:top w:val="nil"/>
              <w:left w:val="single" w:sz="8" w:space="0" w:color="000000"/>
              <w:bottom w:val="nil"/>
              <w:right w:val="single" w:sz="8" w:space="0" w:color="000000"/>
            </w:tcBorders>
          </w:tcPr>
          <w:p>
            <w:pPr>
              <w:pStyle w:val="TableParagraph"/>
              <w:spacing w:line="251" w:lineRule="exact"/>
              <w:ind w:left="111"/>
              <w:rPr>
                <w:sz w:val="21"/>
              </w:rPr>
            </w:pPr>
            <w:r>
              <w:rPr>
                <w:sz w:val="21"/>
              </w:rPr>
              <w:t>学院</w:t>
            </w:r>
          </w:p>
        </w:tc>
        <w:tc>
          <w:tcPr>
            <w:tcW w:w="452" w:type="dxa"/>
            <w:tcBorders>
              <w:top w:val="nil"/>
              <w:left w:val="single" w:sz="8" w:space="0" w:color="000000"/>
              <w:bottom w:val="single" w:sz="8" w:space="0" w:color="000000"/>
              <w:right w:val="single" w:sz="8" w:space="0" w:color="000000"/>
            </w:tcBorders>
          </w:tcPr>
          <w:p>
            <w:pPr>
              <w:pStyle w:val="TableParagraph"/>
              <w:rPr>
                <w:rFonts w:ascii="Times New Roman"/>
                <w:sz w:val="20"/>
              </w:rPr>
            </w:pPr>
          </w:p>
        </w:tc>
        <w:tc>
          <w:tcPr>
            <w:tcW w:w="2106" w:type="dxa"/>
            <w:tcBorders>
              <w:top w:val="nil"/>
              <w:left w:val="single" w:sz="8" w:space="0" w:color="000000"/>
              <w:bottom w:val="single" w:sz="8" w:space="0" w:color="000000"/>
              <w:right w:val="single" w:sz="8" w:space="0" w:color="000000"/>
            </w:tcBorders>
          </w:tcPr>
          <w:p>
            <w:pPr>
              <w:pStyle w:val="TableParagraph"/>
              <w:spacing w:line="251" w:lineRule="exact"/>
              <w:ind w:left="112"/>
              <w:rPr>
                <w:sz w:val="21"/>
              </w:rPr>
            </w:pPr>
            <w:r>
              <w:rPr>
                <w:w w:val="99"/>
                <w:sz w:val="21"/>
              </w:rPr>
              <w:t>间</w:t>
            </w:r>
          </w:p>
        </w:tc>
        <w:tc>
          <w:tcPr>
            <w:tcW w:w="740" w:type="dxa"/>
            <w:tcBorders>
              <w:top w:val="nil"/>
              <w:left w:val="single" w:sz="8" w:space="0" w:color="000000"/>
              <w:bottom w:val="single" w:sz="8" w:space="0" w:color="000000"/>
              <w:right w:val="single" w:sz="8" w:space="0" w:color="000000"/>
            </w:tcBorders>
          </w:tcPr>
          <w:p>
            <w:pPr>
              <w:pStyle w:val="TableParagraph"/>
              <w:rPr>
                <w:rFonts w:ascii="Times New Roman"/>
                <w:sz w:val="20"/>
              </w:rPr>
            </w:pPr>
          </w:p>
        </w:tc>
        <w:tc>
          <w:tcPr>
            <w:tcW w:w="891" w:type="dxa"/>
            <w:tcBorders>
              <w:top w:val="nil"/>
              <w:left w:val="single" w:sz="8" w:space="0" w:color="000000"/>
              <w:bottom w:val="single" w:sz="8" w:space="0" w:color="000000"/>
              <w:right w:val="single" w:sz="8" w:space="0" w:color="000000"/>
            </w:tcBorders>
          </w:tcPr>
          <w:p>
            <w:pPr>
              <w:pStyle w:val="TableParagraph"/>
              <w:rPr>
                <w:rFonts w:ascii="Times New Roman"/>
                <w:sz w:val="20"/>
              </w:rPr>
            </w:pPr>
          </w:p>
        </w:tc>
        <w:tc>
          <w:tcPr>
            <w:tcW w:w="992" w:type="dxa"/>
            <w:tcBorders>
              <w:top w:val="nil"/>
              <w:left w:val="single" w:sz="8" w:space="0" w:color="000000"/>
              <w:bottom w:val="single" w:sz="8" w:space="0" w:color="000000"/>
              <w:right w:val="single" w:sz="8" w:space="0" w:color="000000"/>
            </w:tcBorders>
          </w:tcPr>
          <w:p>
            <w:pPr>
              <w:pStyle w:val="TableParagraph"/>
              <w:rPr>
                <w:rFonts w:ascii="Times New Roman"/>
                <w:sz w:val="20"/>
              </w:rPr>
            </w:pPr>
          </w:p>
        </w:tc>
        <w:tc>
          <w:tcPr>
            <w:tcW w:w="2268" w:type="dxa"/>
            <w:tcBorders>
              <w:top w:val="nil"/>
              <w:left w:val="single" w:sz="8" w:space="0" w:color="000000"/>
              <w:bottom w:val="single" w:sz="8" w:space="0" w:color="000000"/>
            </w:tcBorders>
          </w:tcPr>
          <w:p>
            <w:pPr>
              <w:pStyle w:val="TableParagraph"/>
              <w:rPr>
                <w:rFonts w:ascii="Times New Roman"/>
                <w:sz w:val="20"/>
              </w:rPr>
            </w:pPr>
          </w:p>
        </w:tc>
      </w:tr>
      <w:tr>
        <w:trPr>
          <w:trHeight w:val="265" w:hRule="atLeast"/>
        </w:trPr>
        <w:tc>
          <w:tcPr>
            <w:tcW w:w="788" w:type="dxa"/>
            <w:tcBorders>
              <w:top w:val="nil"/>
              <w:bottom w:val="nil"/>
              <w:right w:val="single" w:sz="8" w:space="0" w:color="000000"/>
            </w:tcBorders>
          </w:tcPr>
          <w:p>
            <w:pPr>
              <w:pStyle w:val="TableParagraph"/>
              <w:rPr>
                <w:rFonts w:ascii="Times New Roman"/>
                <w:sz w:val="18"/>
              </w:rPr>
            </w:pPr>
          </w:p>
        </w:tc>
        <w:tc>
          <w:tcPr>
            <w:tcW w:w="788" w:type="dxa"/>
            <w:tcBorders>
              <w:top w:val="nil"/>
              <w:left w:val="single" w:sz="8" w:space="0" w:color="000000"/>
              <w:bottom w:val="nil"/>
              <w:right w:val="single" w:sz="8" w:space="0" w:color="000000"/>
            </w:tcBorders>
          </w:tcPr>
          <w:p>
            <w:pPr>
              <w:pStyle w:val="TableParagraph"/>
              <w:rPr>
                <w:rFonts w:ascii="Times New Roman"/>
                <w:sz w:val="18"/>
              </w:rPr>
            </w:pPr>
          </w:p>
        </w:tc>
        <w:tc>
          <w:tcPr>
            <w:tcW w:w="452" w:type="dxa"/>
            <w:vMerge w:val="restart"/>
            <w:tcBorders>
              <w:top w:val="single" w:sz="8" w:space="0" w:color="000000"/>
              <w:left w:val="single" w:sz="8" w:space="0" w:color="000000"/>
              <w:right w:val="single" w:sz="8" w:space="0" w:color="000000"/>
            </w:tcBorders>
          </w:tcPr>
          <w:p>
            <w:pPr>
              <w:pStyle w:val="TableParagraph"/>
              <w:spacing w:before="150"/>
              <w:ind w:left="113"/>
              <w:rPr>
                <w:rFonts w:ascii="Times New Roman"/>
                <w:sz w:val="21"/>
              </w:rPr>
            </w:pPr>
            <w:r>
              <w:rPr>
                <w:rFonts w:ascii="Times New Roman"/>
                <w:w w:val="99"/>
                <w:sz w:val="21"/>
              </w:rPr>
              <w:t>4</w:t>
            </w:r>
          </w:p>
        </w:tc>
        <w:tc>
          <w:tcPr>
            <w:tcW w:w="2106" w:type="dxa"/>
            <w:tcBorders>
              <w:top w:val="single" w:sz="8" w:space="0" w:color="000000"/>
              <w:left w:val="single" w:sz="8" w:space="0" w:color="000000"/>
              <w:bottom w:val="nil"/>
              <w:right w:val="single" w:sz="8" w:space="0" w:color="000000"/>
            </w:tcBorders>
          </w:tcPr>
          <w:p>
            <w:pPr>
              <w:pStyle w:val="TableParagraph"/>
              <w:spacing w:line="243" w:lineRule="exact" w:before="1"/>
              <w:ind w:left="112"/>
              <w:rPr>
                <w:sz w:val="21"/>
              </w:rPr>
            </w:pPr>
            <w:r>
              <w:rPr>
                <w:sz w:val="21"/>
              </w:rPr>
              <w:t>专任教师赴国</w:t>
            </w:r>
            <w:r>
              <w:rPr>
                <w:rFonts w:ascii="Times New Roman" w:eastAsia="Times New Roman"/>
                <w:sz w:val="21"/>
              </w:rPr>
              <w:t>(</w:t>
            </w:r>
            <w:r>
              <w:rPr>
                <w:sz w:val="21"/>
              </w:rPr>
              <w:t>境</w:t>
            </w:r>
            <w:r>
              <w:rPr>
                <w:rFonts w:ascii="Times New Roman" w:eastAsia="Times New Roman"/>
                <w:sz w:val="21"/>
              </w:rPr>
              <w:t>)</w:t>
            </w:r>
            <w:r>
              <w:rPr>
                <w:sz w:val="21"/>
              </w:rPr>
              <w:t>外</w:t>
            </w:r>
          </w:p>
        </w:tc>
        <w:tc>
          <w:tcPr>
            <w:tcW w:w="740" w:type="dxa"/>
            <w:vMerge w:val="restart"/>
            <w:tcBorders>
              <w:top w:val="single" w:sz="8" w:space="0" w:color="000000"/>
              <w:left w:val="single" w:sz="8" w:space="0" w:color="000000"/>
              <w:right w:val="single" w:sz="8" w:space="0" w:color="000000"/>
            </w:tcBorders>
          </w:tcPr>
          <w:p>
            <w:pPr>
              <w:pStyle w:val="TableParagraph"/>
              <w:spacing w:before="136"/>
              <w:ind w:left="111"/>
              <w:rPr>
                <w:sz w:val="21"/>
              </w:rPr>
            </w:pPr>
            <w:r>
              <w:rPr>
                <w:sz w:val="21"/>
              </w:rPr>
              <w:t>人日</w:t>
            </w:r>
          </w:p>
        </w:tc>
        <w:tc>
          <w:tcPr>
            <w:tcW w:w="891" w:type="dxa"/>
            <w:vMerge w:val="restart"/>
            <w:tcBorders>
              <w:top w:val="single" w:sz="8" w:space="0" w:color="000000"/>
              <w:left w:val="single" w:sz="8" w:space="0" w:color="000000"/>
              <w:right w:val="single" w:sz="8" w:space="0" w:color="000000"/>
            </w:tcBorders>
          </w:tcPr>
          <w:p>
            <w:pPr>
              <w:pStyle w:val="TableParagraph"/>
              <w:spacing w:before="150"/>
              <w:ind w:left="112"/>
              <w:rPr>
                <w:rFonts w:ascii="Times New Roman"/>
                <w:sz w:val="21"/>
              </w:rPr>
            </w:pPr>
            <w:r>
              <w:rPr>
                <w:rFonts w:ascii="Times New Roman"/>
                <w:sz w:val="21"/>
              </w:rPr>
              <w:t>441</w:t>
            </w:r>
          </w:p>
        </w:tc>
        <w:tc>
          <w:tcPr>
            <w:tcW w:w="992" w:type="dxa"/>
            <w:vMerge w:val="restart"/>
            <w:tcBorders>
              <w:top w:val="single" w:sz="8" w:space="0" w:color="000000"/>
              <w:left w:val="single" w:sz="8" w:space="0" w:color="000000"/>
              <w:right w:val="single" w:sz="8" w:space="0" w:color="000000"/>
            </w:tcBorders>
          </w:tcPr>
          <w:p>
            <w:pPr>
              <w:pStyle w:val="TableParagraph"/>
              <w:spacing w:before="150"/>
              <w:ind w:left="112"/>
              <w:rPr>
                <w:rFonts w:ascii="Times New Roman"/>
                <w:sz w:val="21"/>
              </w:rPr>
            </w:pPr>
            <w:r>
              <w:rPr>
                <w:rFonts w:ascii="Times New Roman"/>
                <w:sz w:val="21"/>
              </w:rPr>
              <w:t>727</w:t>
            </w:r>
          </w:p>
        </w:tc>
        <w:tc>
          <w:tcPr>
            <w:tcW w:w="2268" w:type="dxa"/>
            <w:vMerge w:val="restart"/>
            <w:tcBorders>
              <w:top w:val="single" w:sz="8" w:space="0" w:color="000000"/>
              <w:left w:val="single" w:sz="8" w:space="0" w:color="000000"/>
            </w:tcBorders>
          </w:tcPr>
          <w:p>
            <w:pPr>
              <w:pStyle w:val="TableParagraph"/>
              <w:spacing w:before="136"/>
              <w:ind w:left="111"/>
              <w:rPr>
                <w:sz w:val="21"/>
              </w:rPr>
            </w:pPr>
            <w:r>
              <w:rPr>
                <w:sz w:val="21"/>
              </w:rPr>
              <w:t>——</w:t>
            </w:r>
          </w:p>
        </w:tc>
      </w:tr>
      <w:tr>
        <w:trPr>
          <w:trHeight w:val="247" w:hRule="atLeast"/>
        </w:trPr>
        <w:tc>
          <w:tcPr>
            <w:tcW w:w="788" w:type="dxa"/>
            <w:tcBorders>
              <w:top w:val="nil"/>
              <w:right w:val="single" w:sz="8" w:space="0" w:color="000000"/>
            </w:tcBorders>
          </w:tcPr>
          <w:p>
            <w:pPr>
              <w:pStyle w:val="TableParagraph"/>
              <w:rPr>
                <w:rFonts w:ascii="Times New Roman"/>
                <w:sz w:val="18"/>
              </w:rPr>
            </w:pPr>
          </w:p>
        </w:tc>
        <w:tc>
          <w:tcPr>
            <w:tcW w:w="788" w:type="dxa"/>
            <w:tcBorders>
              <w:top w:val="nil"/>
              <w:left w:val="single" w:sz="8" w:space="0" w:color="000000"/>
              <w:right w:val="single" w:sz="8" w:space="0" w:color="000000"/>
            </w:tcBorders>
          </w:tcPr>
          <w:p>
            <w:pPr>
              <w:pStyle w:val="TableParagraph"/>
              <w:rPr>
                <w:rFonts w:ascii="Times New Roman"/>
                <w:sz w:val="18"/>
              </w:rPr>
            </w:pPr>
          </w:p>
        </w:tc>
        <w:tc>
          <w:tcPr>
            <w:tcW w:w="452" w:type="dxa"/>
            <w:vMerge/>
            <w:tcBorders>
              <w:top w:val="nil"/>
              <w:left w:val="single" w:sz="8" w:space="0" w:color="000000"/>
              <w:right w:val="single" w:sz="8" w:space="0" w:color="000000"/>
            </w:tcBorders>
          </w:tcPr>
          <w:p>
            <w:pPr>
              <w:rPr>
                <w:sz w:val="2"/>
                <w:szCs w:val="2"/>
              </w:rPr>
            </w:pPr>
          </w:p>
        </w:tc>
        <w:tc>
          <w:tcPr>
            <w:tcW w:w="2106" w:type="dxa"/>
            <w:tcBorders>
              <w:top w:val="nil"/>
              <w:left w:val="single" w:sz="8" w:space="0" w:color="000000"/>
              <w:right w:val="single" w:sz="8" w:space="0" w:color="000000"/>
            </w:tcBorders>
          </w:tcPr>
          <w:p>
            <w:pPr>
              <w:pStyle w:val="TableParagraph"/>
              <w:spacing w:line="228" w:lineRule="exact"/>
              <w:ind w:left="112"/>
              <w:rPr>
                <w:sz w:val="21"/>
              </w:rPr>
            </w:pPr>
            <w:r>
              <w:rPr>
                <w:sz w:val="21"/>
              </w:rPr>
              <w:t>指导和开展培训时间</w:t>
            </w:r>
          </w:p>
        </w:tc>
        <w:tc>
          <w:tcPr>
            <w:tcW w:w="740" w:type="dxa"/>
            <w:vMerge/>
            <w:tcBorders>
              <w:top w:val="nil"/>
              <w:left w:val="single" w:sz="8" w:space="0" w:color="000000"/>
              <w:right w:val="single" w:sz="8" w:space="0" w:color="000000"/>
            </w:tcBorders>
          </w:tcPr>
          <w:p>
            <w:pPr>
              <w:rPr>
                <w:sz w:val="2"/>
                <w:szCs w:val="2"/>
              </w:rPr>
            </w:pPr>
          </w:p>
        </w:tc>
        <w:tc>
          <w:tcPr>
            <w:tcW w:w="891" w:type="dxa"/>
            <w:vMerge/>
            <w:tcBorders>
              <w:top w:val="nil"/>
              <w:left w:val="single" w:sz="8" w:space="0" w:color="000000"/>
              <w:right w:val="single" w:sz="8" w:space="0" w:color="000000"/>
            </w:tcBorders>
          </w:tcPr>
          <w:p>
            <w:pPr>
              <w:rPr>
                <w:sz w:val="2"/>
                <w:szCs w:val="2"/>
              </w:rPr>
            </w:pPr>
          </w:p>
        </w:tc>
        <w:tc>
          <w:tcPr>
            <w:tcW w:w="992" w:type="dxa"/>
            <w:vMerge/>
            <w:tcBorders>
              <w:top w:val="nil"/>
              <w:left w:val="single" w:sz="8" w:space="0" w:color="000000"/>
              <w:right w:val="single" w:sz="8" w:space="0" w:color="000000"/>
            </w:tcBorders>
          </w:tcPr>
          <w:p>
            <w:pPr>
              <w:rPr>
                <w:sz w:val="2"/>
                <w:szCs w:val="2"/>
              </w:rPr>
            </w:pPr>
          </w:p>
        </w:tc>
        <w:tc>
          <w:tcPr>
            <w:tcW w:w="2268" w:type="dxa"/>
            <w:vMerge/>
            <w:tcBorders>
              <w:top w:val="nil"/>
              <w:left w:val="single" w:sz="8" w:space="0" w:color="000000"/>
            </w:tcBorders>
          </w:tcPr>
          <w:p>
            <w:pPr>
              <w:rPr>
                <w:sz w:val="2"/>
                <w:szCs w:val="2"/>
              </w:rPr>
            </w:pPr>
          </w:p>
        </w:tc>
      </w:tr>
    </w:tbl>
    <w:p>
      <w:pPr>
        <w:spacing w:after="0"/>
        <w:rPr>
          <w:sz w:val="2"/>
          <w:szCs w:val="2"/>
        </w:rPr>
        <w:sectPr>
          <w:pgSz w:w="11910" w:h="16840"/>
          <w:pgMar w:header="780" w:footer="1235" w:top="1260" w:bottom="1440" w:left="0" w:right="0"/>
        </w:sectPr>
      </w:pPr>
    </w:p>
    <w:p>
      <w:pPr>
        <w:pStyle w:val="BodyText"/>
        <w:spacing w:before="1"/>
        <w:rPr>
          <w:rFonts w:ascii="Times New Roman"/>
          <w:sz w:val="12"/>
        </w:rPr>
      </w:pPr>
    </w:p>
    <w:tbl>
      <w:tblPr>
        <w:tblW w:w="0" w:type="auto"/>
        <w:jc w:val="left"/>
        <w:tblInd w:w="14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8"/>
        <w:gridCol w:w="788"/>
        <w:gridCol w:w="452"/>
        <w:gridCol w:w="2106"/>
        <w:gridCol w:w="740"/>
        <w:gridCol w:w="891"/>
        <w:gridCol w:w="992"/>
        <w:gridCol w:w="2268"/>
      </w:tblGrid>
      <w:tr>
        <w:trPr>
          <w:trHeight w:val="4897" w:hRule="atLeast"/>
        </w:trPr>
        <w:tc>
          <w:tcPr>
            <w:tcW w:w="788" w:type="dxa"/>
            <w:vMerge w:val="restart"/>
            <w:tcBorders>
              <w:right w:val="single" w:sz="8" w:space="0" w:color="000000"/>
            </w:tcBorders>
          </w:tcPr>
          <w:p>
            <w:pPr>
              <w:pStyle w:val="TableParagraph"/>
              <w:rPr>
                <w:rFonts w:ascii="Times New Roman"/>
                <w:sz w:val="18"/>
              </w:rPr>
            </w:pPr>
          </w:p>
        </w:tc>
        <w:tc>
          <w:tcPr>
            <w:tcW w:w="788" w:type="dxa"/>
            <w:vMerge w:val="restart"/>
            <w:tcBorders>
              <w:left w:val="single" w:sz="8" w:space="0" w:color="000000"/>
              <w:right w:val="single" w:sz="8" w:space="0" w:color="000000"/>
            </w:tcBorders>
          </w:tcPr>
          <w:p>
            <w:pPr>
              <w:pStyle w:val="TableParagraph"/>
              <w:rPr>
                <w:rFonts w:ascii="Times New Roman"/>
                <w:sz w:val="18"/>
              </w:rPr>
            </w:pPr>
          </w:p>
        </w:tc>
        <w:tc>
          <w:tcPr>
            <w:tcW w:w="452" w:type="dxa"/>
            <w:tcBorders>
              <w:left w:val="single" w:sz="8" w:space="0" w:color="000000"/>
              <w:bottom w:val="single" w:sz="8" w:space="0" w:color="000000"/>
              <w:right w:val="single" w:sz="8"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6"/>
              </w:rPr>
            </w:pPr>
          </w:p>
          <w:p>
            <w:pPr>
              <w:pStyle w:val="TableParagraph"/>
              <w:ind w:left="113"/>
              <w:rPr>
                <w:rFonts w:ascii="Times New Roman"/>
                <w:sz w:val="21"/>
              </w:rPr>
            </w:pPr>
            <w:r>
              <w:rPr>
                <w:rFonts w:ascii="Times New Roman"/>
                <w:w w:val="99"/>
                <w:sz w:val="21"/>
              </w:rPr>
              <w:t>5</w:t>
            </w:r>
          </w:p>
        </w:tc>
        <w:tc>
          <w:tcPr>
            <w:tcW w:w="2106" w:type="dxa"/>
            <w:tcBorders>
              <w:left w:val="single" w:sz="8" w:space="0" w:color="000000"/>
              <w:bottom w:val="single" w:sz="8" w:space="0" w:color="000000"/>
              <w:right w:val="single" w:sz="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9"/>
              </w:rPr>
            </w:pPr>
          </w:p>
          <w:p>
            <w:pPr>
              <w:pStyle w:val="TableParagraph"/>
              <w:spacing w:line="244" w:lineRule="auto"/>
              <w:ind w:left="112" w:right="82"/>
              <w:rPr>
                <w:sz w:val="21"/>
              </w:rPr>
            </w:pPr>
            <w:r>
              <w:rPr>
                <w:sz w:val="21"/>
              </w:rPr>
              <w:t>在国</w:t>
            </w:r>
            <w:r>
              <w:rPr>
                <w:rFonts w:ascii="Times New Roman" w:eastAsia="Times New Roman"/>
                <w:sz w:val="21"/>
              </w:rPr>
              <w:t>(</w:t>
            </w:r>
            <w:r>
              <w:rPr>
                <w:sz w:val="21"/>
              </w:rPr>
              <w:t>境</w:t>
            </w:r>
            <w:r>
              <w:rPr>
                <w:rFonts w:ascii="Times New Roman" w:eastAsia="Times New Roman"/>
                <w:sz w:val="21"/>
              </w:rPr>
              <w:t>)</w:t>
            </w:r>
            <w:r>
              <w:rPr>
                <w:sz w:val="21"/>
              </w:rPr>
              <w:t>外组织担任职务的专任教师人数</w:t>
            </w:r>
          </w:p>
        </w:tc>
        <w:tc>
          <w:tcPr>
            <w:tcW w:w="740" w:type="dxa"/>
            <w:tcBorders>
              <w:left w:val="single" w:sz="8" w:space="0" w:color="000000"/>
              <w:bottom w:val="single" w:sz="8" w:space="0" w:color="000000"/>
              <w:right w:val="single" w:sz="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1"/>
              </w:rPr>
            </w:pPr>
          </w:p>
          <w:p>
            <w:pPr>
              <w:pStyle w:val="TableParagraph"/>
              <w:ind w:left="111"/>
              <w:rPr>
                <w:sz w:val="21"/>
              </w:rPr>
            </w:pPr>
            <w:r>
              <w:rPr>
                <w:w w:val="99"/>
                <w:sz w:val="21"/>
              </w:rPr>
              <w:t>人</w:t>
            </w:r>
          </w:p>
        </w:tc>
        <w:tc>
          <w:tcPr>
            <w:tcW w:w="891" w:type="dxa"/>
            <w:tcBorders>
              <w:left w:val="single" w:sz="8" w:space="0" w:color="000000"/>
              <w:bottom w:val="single" w:sz="8" w:space="0" w:color="000000"/>
              <w:right w:val="single" w:sz="8"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6"/>
              </w:rPr>
            </w:pPr>
          </w:p>
          <w:p>
            <w:pPr>
              <w:pStyle w:val="TableParagraph"/>
              <w:ind w:left="112"/>
              <w:rPr>
                <w:rFonts w:ascii="Times New Roman"/>
                <w:sz w:val="21"/>
              </w:rPr>
            </w:pPr>
            <w:r>
              <w:rPr>
                <w:rFonts w:ascii="Times New Roman"/>
                <w:w w:val="99"/>
                <w:sz w:val="21"/>
              </w:rPr>
              <w:t>0</w:t>
            </w:r>
          </w:p>
        </w:tc>
        <w:tc>
          <w:tcPr>
            <w:tcW w:w="992" w:type="dxa"/>
            <w:tcBorders>
              <w:left w:val="single" w:sz="8" w:space="0" w:color="000000"/>
              <w:bottom w:val="single" w:sz="8" w:space="0" w:color="000000"/>
              <w:right w:val="single" w:sz="8"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6"/>
              </w:rPr>
            </w:pPr>
          </w:p>
          <w:p>
            <w:pPr>
              <w:pStyle w:val="TableParagraph"/>
              <w:ind w:left="112"/>
              <w:rPr>
                <w:rFonts w:ascii="Times New Roman"/>
                <w:sz w:val="21"/>
              </w:rPr>
            </w:pPr>
            <w:r>
              <w:rPr>
                <w:rFonts w:ascii="Times New Roman"/>
                <w:w w:val="99"/>
                <w:sz w:val="21"/>
              </w:rPr>
              <w:t>7</w:t>
            </w:r>
          </w:p>
        </w:tc>
        <w:tc>
          <w:tcPr>
            <w:tcW w:w="2268" w:type="dxa"/>
            <w:tcBorders>
              <w:left w:val="single" w:sz="8" w:space="0" w:color="000000"/>
              <w:bottom w:val="single" w:sz="8" w:space="0" w:color="000000"/>
            </w:tcBorders>
          </w:tcPr>
          <w:p>
            <w:pPr>
              <w:pStyle w:val="TableParagraph"/>
              <w:numPr>
                <w:ilvl w:val="0"/>
                <w:numId w:val="7"/>
              </w:numPr>
              <w:tabs>
                <w:tab w:pos="384" w:val="left" w:leader="none"/>
              </w:tabs>
              <w:spacing w:line="242" w:lineRule="auto" w:before="3" w:after="0"/>
              <w:ind w:left="111" w:right="75" w:firstLine="0"/>
              <w:jc w:val="both"/>
              <w:rPr>
                <w:sz w:val="18"/>
              </w:rPr>
            </w:pPr>
            <w:r>
              <w:rPr>
                <w:sz w:val="18"/>
              </w:rPr>
              <w:t>欧阳广教授在巴基斯</w:t>
            </w:r>
            <w:r>
              <w:rPr>
                <w:spacing w:val="-7"/>
                <w:sz w:val="18"/>
              </w:rPr>
              <w:t>坦 </w:t>
            </w:r>
            <w:r>
              <w:rPr>
                <w:rFonts w:ascii="Times New Roman" w:eastAsia="Times New Roman"/>
                <w:sz w:val="18"/>
              </w:rPr>
              <w:t>Infinity</w:t>
            </w:r>
            <w:r>
              <w:rPr>
                <w:rFonts w:ascii="Times New Roman" w:eastAsia="Times New Roman"/>
                <w:spacing w:val="2"/>
                <w:sz w:val="18"/>
              </w:rPr>
              <w:t> </w:t>
            </w:r>
            <w:r>
              <w:rPr>
                <w:sz w:val="18"/>
              </w:rPr>
              <w:t>工程学院担任客座教授；</w:t>
            </w:r>
          </w:p>
          <w:p>
            <w:pPr>
              <w:pStyle w:val="TableParagraph"/>
              <w:numPr>
                <w:ilvl w:val="0"/>
                <w:numId w:val="7"/>
              </w:numPr>
              <w:tabs>
                <w:tab w:pos="384" w:val="left" w:leader="none"/>
              </w:tabs>
              <w:spacing w:line="242" w:lineRule="auto" w:before="0" w:after="0"/>
              <w:ind w:left="111" w:right="75" w:firstLine="0"/>
              <w:jc w:val="both"/>
              <w:rPr>
                <w:sz w:val="18"/>
              </w:rPr>
            </w:pPr>
            <w:r>
              <w:rPr>
                <w:sz w:val="18"/>
              </w:rPr>
              <w:t>田伟军教授在巴基斯</w:t>
            </w:r>
            <w:r>
              <w:rPr>
                <w:spacing w:val="-7"/>
                <w:sz w:val="18"/>
              </w:rPr>
              <w:t>坦 </w:t>
            </w:r>
            <w:r>
              <w:rPr>
                <w:rFonts w:ascii="Times New Roman" w:eastAsia="Times New Roman"/>
                <w:sz w:val="18"/>
              </w:rPr>
              <w:t>Infinity</w:t>
            </w:r>
            <w:r>
              <w:rPr>
                <w:rFonts w:ascii="Times New Roman" w:eastAsia="Times New Roman"/>
                <w:spacing w:val="2"/>
                <w:sz w:val="18"/>
              </w:rPr>
              <w:t> </w:t>
            </w:r>
            <w:r>
              <w:rPr>
                <w:sz w:val="18"/>
              </w:rPr>
              <w:t>工程学院担任客座教授；</w:t>
            </w:r>
          </w:p>
          <w:p>
            <w:pPr>
              <w:pStyle w:val="TableParagraph"/>
              <w:numPr>
                <w:ilvl w:val="0"/>
                <w:numId w:val="7"/>
              </w:numPr>
              <w:tabs>
                <w:tab w:pos="384" w:val="left" w:leader="none"/>
              </w:tabs>
              <w:spacing w:line="242" w:lineRule="auto" w:before="2" w:after="0"/>
              <w:ind w:left="111" w:right="75" w:firstLine="0"/>
              <w:jc w:val="both"/>
              <w:rPr>
                <w:sz w:val="18"/>
              </w:rPr>
            </w:pPr>
            <w:r>
              <w:rPr>
                <w:sz w:val="18"/>
              </w:rPr>
              <w:t>谭文培教授在巴基斯</w:t>
            </w:r>
            <w:r>
              <w:rPr>
                <w:spacing w:val="-7"/>
                <w:sz w:val="18"/>
              </w:rPr>
              <w:t>坦 </w:t>
            </w:r>
            <w:r>
              <w:rPr>
                <w:rFonts w:ascii="Times New Roman" w:eastAsia="Times New Roman"/>
                <w:sz w:val="18"/>
              </w:rPr>
              <w:t>Infinity</w:t>
            </w:r>
            <w:r>
              <w:rPr>
                <w:rFonts w:ascii="Times New Roman" w:eastAsia="Times New Roman"/>
                <w:spacing w:val="2"/>
                <w:sz w:val="18"/>
              </w:rPr>
              <w:t> </w:t>
            </w:r>
            <w:r>
              <w:rPr>
                <w:sz w:val="18"/>
              </w:rPr>
              <w:t>工程学院担任客座教授；</w:t>
            </w:r>
          </w:p>
          <w:p>
            <w:pPr>
              <w:pStyle w:val="TableParagraph"/>
              <w:numPr>
                <w:ilvl w:val="0"/>
                <w:numId w:val="7"/>
              </w:numPr>
              <w:tabs>
                <w:tab w:pos="384" w:val="left" w:leader="none"/>
              </w:tabs>
              <w:spacing w:line="242" w:lineRule="auto" w:before="2" w:after="0"/>
              <w:ind w:left="111" w:right="75" w:firstLine="0"/>
              <w:jc w:val="both"/>
              <w:rPr>
                <w:sz w:val="18"/>
              </w:rPr>
            </w:pPr>
            <w:r>
              <w:rPr>
                <w:sz w:val="18"/>
              </w:rPr>
              <w:t>向寓华教授在巴基斯</w:t>
            </w:r>
            <w:r>
              <w:rPr>
                <w:spacing w:val="-7"/>
                <w:sz w:val="18"/>
              </w:rPr>
              <w:t>坦 </w:t>
            </w:r>
            <w:r>
              <w:rPr>
                <w:rFonts w:ascii="Times New Roman" w:eastAsia="Times New Roman"/>
                <w:sz w:val="18"/>
              </w:rPr>
              <w:t>Infinity</w:t>
            </w:r>
            <w:r>
              <w:rPr>
                <w:rFonts w:ascii="Times New Roman" w:eastAsia="Times New Roman"/>
                <w:spacing w:val="2"/>
                <w:sz w:val="18"/>
              </w:rPr>
              <w:t> </w:t>
            </w:r>
            <w:r>
              <w:rPr>
                <w:sz w:val="18"/>
              </w:rPr>
              <w:t>工程学院担任客座教授；</w:t>
            </w:r>
          </w:p>
          <w:p>
            <w:pPr>
              <w:pStyle w:val="TableParagraph"/>
              <w:numPr>
                <w:ilvl w:val="0"/>
                <w:numId w:val="7"/>
              </w:numPr>
              <w:tabs>
                <w:tab w:pos="384" w:val="left" w:leader="none"/>
              </w:tabs>
              <w:spacing w:line="242" w:lineRule="auto" w:before="2" w:after="0"/>
              <w:ind w:left="111" w:right="75" w:firstLine="0"/>
              <w:jc w:val="both"/>
              <w:rPr>
                <w:sz w:val="18"/>
              </w:rPr>
            </w:pPr>
            <w:r>
              <w:rPr>
                <w:sz w:val="18"/>
              </w:rPr>
              <w:t>陈杰山副教授在巴基</w:t>
            </w:r>
            <w:r>
              <w:rPr>
                <w:spacing w:val="11"/>
                <w:sz w:val="18"/>
              </w:rPr>
              <w:t>斯坦</w:t>
            </w:r>
            <w:r>
              <w:rPr>
                <w:rFonts w:ascii="Times New Roman" w:eastAsia="Times New Roman"/>
                <w:sz w:val="18"/>
              </w:rPr>
              <w:t>Infinity</w:t>
            </w:r>
            <w:r>
              <w:rPr>
                <w:rFonts w:ascii="Times New Roman" w:eastAsia="Times New Roman"/>
                <w:spacing w:val="-11"/>
                <w:sz w:val="18"/>
              </w:rPr>
              <w:t> </w:t>
            </w:r>
            <w:r>
              <w:rPr>
                <w:sz w:val="18"/>
              </w:rPr>
              <w:t>工程学院担任</w:t>
            </w:r>
            <w:r>
              <w:rPr>
                <w:spacing w:val="-4"/>
                <w:sz w:val="18"/>
              </w:rPr>
              <w:t>客座教授；</w:t>
            </w:r>
          </w:p>
          <w:p>
            <w:pPr>
              <w:pStyle w:val="TableParagraph"/>
              <w:numPr>
                <w:ilvl w:val="0"/>
                <w:numId w:val="7"/>
              </w:numPr>
              <w:tabs>
                <w:tab w:pos="384" w:val="left" w:leader="none"/>
              </w:tabs>
              <w:spacing w:line="242" w:lineRule="auto" w:before="0" w:after="0"/>
              <w:ind w:left="111" w:right="75" w:firstLine="0"/>
              <w:jc w:val="both"/>
              <w:rPr>
                <w:sz w:val="18"/>
              </w:rPr>
            </w:pPr>
            <w:r>
              <w:rPr>
                <w:sz w:val="18"/>
              </w:rPr>
              <w:t>兰立新副教授在巴基</w:t>
            </w:r>
            <w:r>
              <w:rPr>
                <w:spacing w:val="11"/>
                <w:sz w:val="18"/>
              </w:rPr>
              <w:t>斯坦</w:t>
            </w:r>
            <w:r>
              <w:rPr>
                <w:rFonts w:ascii="Times New Roman" w:eastAsia="Times New Roman"/>
                <w:sz w:val="18"/>
              </w:rPr>
              <w:t>Infinity</w:t>
            </w:r>
            <w:r>
              <w:rPr>
                <w:rFonts w:ascii="Times New Roman" w:eastAsia="Times New Roman"/>
                <w:spacing w:val="-11"/>
                <w:sz w:val="18"/>
              </w:rPr>
              <w:t> </w:t>
            </w:r>
            <w:r>
              <w:rPr>
                <w:sz w:val="18"/>
              </w:rPr>
              <w:t>工程学院担任</w:t>
            </w:r>
            <w:r>
              <w:rPr>
                <w:spacing w:val="-4"/>
                <w:sz w:val="18"/>
              </w:rPr>
              <w:t>客座教授；</w:t>
            </w:r>
          </w:p>
          <w:p>
            <w:pPr>
              <w:pStyle w:val="TableParagraph"/>
              <w:numPr>
                <w:ilvl w:val="0"/>
                <w:numId w:val="7"/>
              </w:numPr>
              <w:tabs>
                <w:tab w:pos="417" w:val="left" w:leader="none"/>
              </w:tabs>
              <w:spacing w:line="240" w:lineRule="auto" w:before="1" w:after="0"/>
              <w:ind w:left="416" w:right="0" w:hanging="306"/>
              <w:jc w:val="left"/>
              <w:rPr>
                <w:sz w:val="18"/>
              </w:rPr>
            </w:pPr>
            <w:r>
              <w:rPr>
                <w:spacing w:val="3"/>
                <w:sz w:val="18"/>
              </w:rPr>
              <w:t>． 张翔博士在巴基斯</w:t>
            </w:r>
            <w:r>
              <w:rPr>
                <w:sz w:val="18"/>
              </w:rPr>
              <w:t>坦</w:t>
            </w:r>
          </w:p>
          <w:p>
            <w:pPr>
              <w:pStyle w:val="TableParagraph"/>
              <w:spacing w:line="230" w:lineRule="atLeast" w:before="5"/>
              <w:ind w:left="111" w:right="75"/>
              <w:rPr>
                <w:sz w:val="18"/>
              </w:rPr>
            </w:pPr>
            <w:r>
              <w:rPr>
                <w:rFonts w:ascii="Times New Roman" w:eastAsia="Times New Roman"/>
                <w:sz w:val="18"/>
              </w:rPr>
              <w:t>Infinity </w:t>
            </w:r>
            <w:r>
              <w:rPr>
                <w:sz w:val="18"/>
              </w:rPr>
              <w:t>工程学院担任客座教授。</w:t>
            </w:r>
          </w:p>
        </w:tc>
      </w:tr>
      <w:tr>
        <w:trPr>
          <w:trHeight w:val="533" w:hRule="atLeast"/>
        </w:trPr>
        <w:tc>
          <w:tcPr>
            <w:tcW w:w="788" w:type="dxa"/>
            <w:vMerge/>
            <w:tcBorders>
              <w:top w:val="nil"/>
              <w:right w:val="single" w:sz="8" w:space="0" w:color="000000"/>
            </w:tcBorders>
          </w:tcPr>
          <w:p>
            <w:pPr>
              <w:rPr>
                <w:sz w:val="2"/>
                <w:szCs w:val="2"/>
              </w:rPr>
            </w:pPr>
          </w:p>
        </w:tc>
        <w:tc>
          <w:tcPr>
            <w:tcW w:w="788" w:type="dxa"/>
            <w:vMerge/>
            <w:tcBorders>
              <w:top w:val="nil"/>
              <w:left w:val="single" w:sz="8" w:space="0" w:color="000000"/>
              <w:right w:val="single" w:sz="8" w:space="0" w:color="000000"/>
            </w:tcBorders>
          </w:tcPr>
          <w:p>
            <w:pPr>
              <w:rPr>
                <w:sz w:val="2"/>
                <w:szCs w:val="2"/>
              </w:rPr>
            </w:pPr>
          </w:p>
        </w:tc>
        <w:tc>
          <w:tcPr>
            <w:tcW w:w="452" w:type="dxa"/>
            <w:vMerge w:val="restart"/>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p>
            <w:pPr>
              <w:pStyle w:val="TableParagraph"/>
              <w:spacing w:before="173"/>
              <w:ind w:left="113"/>
              <w:rPr>
                <w:rFonts w:ascii="Times New Roman"/>
                <w:sz w:val="21"/>
              </w:rPr>
            </w:pPr>
            <w:r>
              <w:rPr>
                <w:rFonts w:ascii="Times New Roman"/>
                <w:w w:val="99"/>
                <w:sz w:val="21"/>
              </w:rPr>
              <w:t>6</w:t>
            </w:r>
          </w:p>
        </w:tc>
        <w:tc>
          <w:tcPr>
            <w:tcW w:w="2106" w:type="dxa"/>
            <w:tcBorders>
              <w:top w:val="single" w:sz="8" w:space="0" w:color="000000"/>
              <w:left w:val="single" w:sz="8" w:space="0" w:color="000000"/>
              <w:bottom w:val="single" w:sz="8" w:space="0" w:color="000000"/>
              <w:right w:val="single" w:sz="8" w:space="0" w:color="000000"/>
            </w:tcBorders>
          </w:tcPr>
          <w:p>
            <w:pPr>
              <w:pStyle w:val="TableParagraph"/>
              <w:spacing w:line="264" w:lineRule="exact"/>
              <w:ind w:left="112"/>
              <w:rPr>
                <w:sz w:val="21"/>
              </w:rPr>
            </w:pPr>
            <w:r>
              <w:rPr>
                <w:spacing w:val="8"/>
                <w:w w:val="95"/>
                <w:sz w:val="21"/>
              </w:rPr>
              <w:t>开发并被国</w:t>
            </w:r>
            <w:r>
              <w:rPr>
                <w:rFonts w:ascii="Times New Roman" w:eastAsia="Times New Roman"/>
                <w:spacing w:val="7"/>
                <w:w w:val="95"/>
                <w:sz w:val="21"/>
              </w:rPr>
              <w:t>(</w:t>
            </w:r>
            <w:r>
              <w:rPr>
                <w:spacing w:val="9"/>
                <w:w w:val="95"/>
                <w:sz w:val="21"/>
              </w:rPr>
              <w:t>境</w:t>
            </w:r>
            <w:r>
              <w:rPr>
                <w:rFonts w:ascii="Times New Roman" w:eastAsia="Times New Roman"/>
                <w:spacing w:val="9"/>
                <w:w w:val="95"/>
                <w:sz w:val="21"/>
              </w:rPr>
              <w:t>)</w:t>
            </w:r>
            <w:r>
              <w:rPr>
                <w:spacing w:val="4"/>
                <w:w w:val="95"/>
                <w:sz w:val="21"/>
              </w:rPr>
              <w:t>外采</w:t>
            </w:r>
          </w:p>
          <w:p>
            <w:pPr>
              <w:pStyle w:val="TableParagraph"/>
              <w:spacing w:line="247" w:lineRule="exact" w:before="2"/>
              <w:ind w:left="112"/>
              <w:rPr>
                <w:sz w:val="21"/>
              </w:rPr>
            </w:pPr>
            <w:r>
              <w:rPr>
                <w:w w:val="95"/>
                <w:sz w:val="21"/>
              </w:rPr>
              <w:t>用的专业教学标准数</w:t>
            </w:r>
          </w:p>
        </w:tc>
        <w:tc>
          <w:tcPr>
            <w:tcW w:w="740" w:type="dxa"/>
            <w:tcBorders>
              <w:top w:val="single" w:sz="8" w:space="0" w:color="000000"/>
              <w:left w:val="single" w:sz="8" w:space="0" w:color="000000"/>
              <w:bottom w:val="single" w:sz="8" w:space="0" w:color="000000"/>
              <w:right w:val="single" w:sz="8" w:space="0" w:color="000000"/>
            </w:tcBorders>
          </w:tcPr>
          <w:p>
            <w:pPr>
              <w:pStyle w:val="TableParagraph"/>
              <w:spacing w:before="129"/>
              <w:ind w:left="111"/>
              <w:rPr>
                <w:sz w:val="21"/>
              </w:rPr>
            </w:pPr>
            <w:r>
              <w:rPr>
                <w:w w:val="99"/>
                <w:sz w:val="21"/>
              </w:rPr>
              <w:t>个</w:t>
            </w:r>
          </w:p>
        </w:tc>
        <w:tc>
          <w:tcPr>
            <w:tcW w:w="891" w:type="dxa"/>
            <w:tcBorders>
              <w:top w:val="single" w:sz="8" w:space="0" w:color="000000"/>
              <w:left w:val="single" w:sz="8" w:space="0" w:color="000000"/>
              <w:bottom w:val="single" w:sz="8" w:space="0" w:color="000000"/>
              <w:right w:val="single" w:sz="8" w:space="0" w:color="000000"/>
            </w:tcBorders>
          </w:tcPr>
          <w:p>
            <w:pPr>
              <w:pStyle w:val="TableParagraph"/>
              <w:spacing w:before="143"/>
              <w:ind w:left="112"/>
              <w:rPr>
                <w:rFonts w:ascii="Times New Roman"/>
                <w:sz w:val="21"/>
              </w:rPr>
            </w:pPr>
            <w:r>
              <w:rPr>
                <w:rFonts w:ascii="Times New Roman"/>
                <w:w w:val="99"/>
                <w:sz w:val="21"/>
              </w:rPr>
              <w:t>1</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43"/>
              <w:ind w:left="112"/>
              <w:rPr>
                <w:rFonts w:ascii="Times New Roman"/>
                <w:sz w:val="21"/>
              </w:rPr>
            </w:pPr>
            <w:r>
              <w:rPr>
                <w:rFonts w:ascii="Times New Roman"/>
                <w:w w:val="99"/>
                <w:sz w:val="21"/>
              </w:rPr>
              <w:t>7</w:t>
            </w:r>
          </w:p>
        </w:tc>
        <w:tc>
          <w:tcPr>
            <w:tcW w:w="2268" w:type="dxa"/>
            <w:vMerge w:val="restart"/>
            <w:tcBorders>
              <w:top w:val="single" w:sz="8" w:space="0" w:color="000000"/>
              <w:left w:val="single" w:sz="8" w:space="0" w:color="000000"/>
              <w:bottom w:val="single" w:sz="8" w:space="0" w:color="000000"/>
            </w:tcBorders>
          </w:tcPr>
          <w:p>
            <w:pPr>
              <w:pStyle w:val="TableParagraph"/>
              <w:rPr>
                <w:rFonts w:ascii="Times New Roman"/>
                <w:sz w:val="22"/>
              </w:rPr>
            </w:pPr>
          </w:p>
          <w:p>
            <w:pPr>
              <w:pStyle w:val="TableParagraph"/>
              <w:spacing w:before="159"/>
              <w:ind w:left="111"/>
              <w:rPr>
                <w:rFonts w:ascii="Times New Roman" w:eastAsia="Times New Roman"/>
                <w:sz w:val="21"/>
              </w:rPr>
            </w:pPr>
            <w:r>
              <w:rPr>
                <w:sz w:val="21"/>
              </w:rPr>
              <w:t>详细名单见附表 </w:t>
            </w:r>
            <w:r>
              <w:rPr>
                <w:rFonts w:ascii="Times New Roman" w:eastAsia="Times New Roman"/>
                <w:sz w:val="21"/>
              </w:rPr>
              <w:t>4</w:t>
            </w:r>
          </w:p>
        </w:tc>
      </w:tr>
      <w:tr>
        <w:trPr>
          <w:trHeight w:val="535" w:hRule="atLeast"/>
        </w:trPr>
        <w:tc>
          <w:tcPr>
            <w:tcW w:w="788" w:type="dxa"/>
            <w:vMerge/>
            <w:tcBorders>
              <w:top w:val="nil"/>
              <w:right w:val="single" w:sz="8" w:space="0" w:color="000000"/>
            </w:tcBorders>
          </w:tcPr>
          <w:p>
            <w:pPr>
              <w:rPr>
                <w:sz w:val="2"/>
                <w:szCs w:val="2"/>
              </w:rPr>
            </w:pPr>
          </w:p>
        </w:tc>
        <w:tc>
          <w:tcPr>
            <w:tcW w:w="788" w:type="dxa"/>
            <w:vMerge/>
            <w:tcBorders>
              <w:top w:val="nil"/>
              <w:left w:val="single" w:sz="8" w:space="0" w:color="000000"/>
              <w:right w:val="single" w:sz="8" w:space="0" w:color="000000"/>
            </w:tcBorders>
          </w:tcPr>
          <w:p>
            <w:pPr>
              <w:rPr>
                <w:sz w:val="2"/>
                <w:szCs w:val="2"/>
              </w:rPr>
            </w:pPr>
          </w:p>
        </w:tc>
        <w:tc>
          <w:tcPr>
            <w:tcW w:w="452" w:type="dxa"/>
            <w:vMerge/>
            <w:tcBorders>
              <w:top w:val="nil"/>
              <w:left w:val="single" w:sz="8" w:space="0" w:color="000000"/>
              <w:bottom w:val="single" w:sz="8" w:space="0" w:color="000000"/>
              <w:right w:val="single" w:sz="8" w:space="0" w:color="000000"/>
            </w:tcBorders>
          </w:tcPr>
          <w:p>
            <w:pPr>
              <w:rPr>
                <w:sz w:val="2"/>
                <w:szCs w:val="2"/>
              </w:rPr>
            </w:pPr>
          </w:p>
        </w:tc>
        <w:tc>
          <w:tcPr>
            <w:tcW w:w="2106"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Pr>
                <w:sz w:val="21"/>
              </w:rPr>
            </w:pPr>
            <w:r>
              <w:rPr>
                <w:sz w:val="21"/>
              </w:rPr>
              <w:t>开发并被国</w:t>
            </w:r>
            <w:r>
              <w:rPr>
                <w:rFonts w:ascii="Times New Roman" w:eastAsia="Times New Roman"/>
                <w:sz w:val="21"/>
              </w:rPr>
              <w:t>(</w:t>
            </w:r>
            <w:r>
              <w:rPr>
                <w:sz w:val="21"/>
              </w:rPr>
              <w:t>境</w:t>
            </w:r>
            <w:r>
              <w:rPr>
                <w:rFonts w:ascii="Times New Roman" w:eastAsia="Times New Roman"/>
                <w:sz w:val="21"/>
              </w:rPr>
              <w:t>)</w:t>
            </w:r>
            <w:r>
              <w:rPr>
                <w:sz w:val="21"/>
              </w:rPr>
              <w:t>外采</w:t>
            </w:r>
          </w:p>
          <w:p>
            <w:pPr>
              <w:pStyle w:val="TableParagraph"/>
              <w:spacing w:line="248" w:lineRule="exact" w:before="2"/>
              <w:ind w:left="112"/>
              <w:rPr>
                <w:sz w:val="21"/>
              </w:rPr>
            </w:pPr>
            <w:r>
              <w:rPr>
                <w:sz w:val="21"/>
              </w:rPr>
              <w:t>用的课程标准数</w:t>
            </w:r>
          </w:p>
        </w:tc>
        <w:tc>
          <w:tcPr>
            <w:tcW w:w="740" w:type="dxa"/>
            <w:tcBorders>
              <w:top w:val="single" w:sz="8" w:space="0" w:color="000000"/>
              <w:left w:val="single" w:sz="8" w:space="0" w:color="000000"/>
              <w:bottom w:val="single" w:sz="8" w:space="0" w:color="000000"/>
              <w:right w:val="single" w:sz="8" w:space="0" w:color="000000"/>
            </w:tcBorders>
          </w:tcPr>
          <w:p>
            <w:pPr>
              <w:pStyle w:val="TableParagraph"/>
              <w:spacing w:before="130"/>
              <w:ind w:left="111"/>
              <w:rPr>
                <w:sz w:val="21"/>
              </w:rPr>
            </w:pPr>
            <w:r>
              <w:rPr>
                <w:w w:val="99"/>
                <w:sz w:val="21"/>
              </w:rPr>
              <w:t>个</w:t>
            </w:r>
          </w:p>
        </w:tc>
        <w:tc>
          <w:tcPr>
            <w:tcW w:w="891" w:type="dxa"/>
            <w:tcBorders>
              <w:top w:val="single" w:sz="8" w:space="0" w:color="000000"/>
              <w:left w:val="single" w:sz="8" w:space="0" w:color="000000"/>
              <w:bottom w:val="single" w:sz="8" w:space="0" w:color="000000"/>
              <w:right w:val="single" w:sz="8" w:space="0" w:color="000000"/>
            </w:tcBorders>
          </w:tcPr>
          <w:p>
            <w:pPr>
              <w:pStyle w:val="TableParagraph"/>
              <w:spacing w:before="144"/>
              <w:ind w:left="112"/>
              <w:rPr>
                <w:rFonts w:ascii="Times New Roman"/>
                <w:sz w:val="21"/>
              </w:rPr>
            </w:pPr>
            <w:r>
              <w:rPr>
                <w:rFonts w:ascii="Times New Roman"/>
                <w:w w:val="99"/>
                <w:sz w:val="21"/>
              </w:rPr>
              <w:t>1</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44"/>
              <w:ind w:left="112"/>
              <w:rPr>
                <w:rFonts w:ascii="Times New Roman"/>
                <w:sz w:val="21"/>
              </w:rPr>
            </w:pPr>
            <w:r>
              <w:rPr>
                <w:rFonts w:ascii="Times New Roman"/>
                <w:sz w:val="21"/>
              </w:rPr>
              <w:t>58</w:t>
            </w:r>
          </w:p>
        </w:tc>
        <w:tc>
          <w:tcPr>
            <w:tcW w:w="2268" w:type="dxa"/>
            <w:vMerge/>
            <w:tcBorders>
              <w:top w:val="nil"/>
              <w:left w:val="single" w:sz="8" w:space="0" w:color="000000"/>
              <w:bottom w:val="single" w:sz="8" w:space="0" w:color="000000"/>
            </w:tcBorders>
          </w:tcPr>
          <w:p>
            <w:pPr>
              <w:rPr>
                <w:sz w:val="2"/>
                <w:szCs w:val="2"/>
              </w:rPr>
            </w:pPr>
          </w:p>
        </w:tc>
      </w:tr>
      <w:tr>
        <w:trPr>
          <w:trHeight w:val="3262" w:hRule="atLeast"/>
        </w:trPr>
        <w:tc>
          <w:tcPr>
            <w:tcW w:w="788" w:type="dxa"/>
            <w:vMerge/>
            <w:tcBorders>
              <w:top w:val="nil"/>
              <w:right w:val="single" w:sz="8" w:space="0" w:color="000000"/>
            </w:tcBorders>
          </w:tcPr>
          <w:p>
            <w:pPr>
              <w:rPr>
                <w:sz w:val="2"/>
                <w:szCs w:val="2"/>
              </w:rPr>
            </w:pPr>
          </w:p>
        </w:tc>
        <w:tc>
          <w:tcPr>
            <w:tcW w:w="788" w:type="dxa"/>
            <w:vMerge/>
            <w:tcBorders>
              <w:top w:val="nil"/>
              <w:left w:val="single" w:sz="8" w:space="0" w:color="000000"/>
              <w:right w:val="single" w:sz="8" w:space="0" w:color="000000"/>
            </w:tcBorders>
          </w:tcPr>
          <w:p>
            <w:pPr>
              <w:rPr>
                <w:sz w:val="2"/>
                <w:szCs w:val="2"/>
              </w:rPr>
            </w:pPr>
          </w:p>
        </w:tc>
        <w:tc>
          <w:tcPr>
            <w:tcW w:w="452" w:type="dxa"/>
            <w:tcBorders>
              <w:top w:val="single" w:sz="8" w:space="0" w:color="000000"/>
              <w:left w:val="single" w:sz="8" w:space="0" w:color="000000"/>
              <w:right w:val="single" w:sz="8"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1"/>
              </w:rPr>
            </w:pPr>
          </w:p>
          <w:p>
            <w:pPr>
              <w:pStyle w:val="TableParagraph"/>
              <w:ind w:left="113"/>
              <w:rPr>
                <w:rFonts w:ascii="Times New Roman"/>
                <w:sz w:val="21"/>
              </w:rPr>
            </w:pPr>
            <w:r>
              <w:rPr>
                <w:rFonts w:ascii="Times New Roman"/>
                <w:w w:val="99"/>
                <w:sz w:val="21"/>
              </w:rPr>
              <w:t>7</w:t>
            </w:r>
          </w:p>
        </w:tc>
        <w:tc>
          <w:tcPr>
            <w:tcW w:w="2106" w:type="dxa"/>
            <w:tcBorders>
              <w:top w:val="single" w:sz="8" w:space="0" w:color="000000"/>
              <w:left w:val="single" w:sz="8" w:space="0" w:color="000000"/>
              <w:right w:val="single" w:sz="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7"/>
              </w:rPr>
            </w:pPr>
          </w:p>
          <w:p>
            <w:pPr>
              <w:pStyle w:val="TableParagraph"/>
              <w:spacing w:line="242" w:lineRule="auto"/>
              <w:ind w:left="112" w:right="82"/>
              <w:rPr>
                <w:sz w:val="21"/>
              </w:rPr>
            </w:pPr>
            <w:r>
              <w:rPr>
                <w:sz w:val="21"/>
              </w:rPr>
              <w:t>国</w:t>
            </w:r>
            <w:r>
              <w:rPr>
                <w:rFonts w:ascii="Times New Roman" w:eastAsia="Times New Roman"/>
                <w:sz w:val="21"/>
              </w:rPr>
              <w:t>(</w:t>
            </w:r>
            <w:r>
              <w:rPr>
                <w:sz w:val="21"/>
              </w:rPr>
              <w:t>境</w:t>
            </w:r>
            <w:r>
              <w:rPr>
                <w:rFonts w:ascii="Times New Roman" w:eastAsia="Times New Roman"/>
                <w:sz w:val="21"/>
              </w:rPr>
              <w:t>)</w:t>
            </w:r>
            <w:r>
              <w:rPr>
                <w:sz w:val="21"/>
              </w:rPr>
              <w:t>外技能大赛获奖数量</w:t>
            </w:r>
          </w:p>
        </w:tc>
        <w:tc>
          <w:tcPr>
            <w:tcW w:w="740" w:type="dxa"/>
            <w:tcBorders>
              <w:top w:val="single" w:sz="8" w:space="0" w:color="000000"/>
              <w:left w:val="single" w:sz="8" w:space="0" w:color="000000"/>
              <w:right w:val="single" w:sz="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9"/>
              </w:rPr>
            </w:pPr>
          </w:p>
          <w:p>
            <w:pPr>
              <w:pStyle w:val="TableParagraph"/>
              <w:ind w:left="111"/>
              <w:rPr>
                <w:sz w:val="21"/>
              </w:rPr>
            </w:pPr>
            <w:r>
              <w:rPr>
                <w:w w:val="99"/>
                <w:sz w:val="21"/>
              </w:rPr>
              <w:t>项</w:t>
            </w:r>
          </w:p>
        </w:tc>
        <w:tc>
          <w:tcPr>
            <w:tcW w:w="891" w:type="dxa"/>
            <w:tcBorders>
              <w:top w:val="single" w:sz="8" w:space="0" w:color="000000"/>
              <w:left w:val="single" w:sz="8" w:space="0" w:color="000000"/>
              <w:right w:val="single" w:sz="8"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1"/>
              </w:rPr>
            </w:pPr>
          </w:p>
          <w:p>
            <w:pPr>
              <w:pStyle w:val="TableParagraph"/>
              <w:ind w:left="112"/>
              <w:rPr>
                <w:rFonts w:ascii="Times New Roman"/>
                <w:sz w:val="21"/>
              </w:rPr>
            </w:pPr>
            <w:r>
              <w:rPr>
                <w:rFonts w:ascii="Times New Roman"/>
                <w:w w:val="99"/>
                <w:sz w:val="21"/>
              </w:rPr>
              <w:t>0</w:t>
            </w:r>
          </w:p>
        </w:tc>
        <w:tc>
          <w:tcPr>
            <w:tcW w:w="992" w:type="dxa"/>
            <w:tcBorders>
              <w:top w:val="single" w:sz="8" w:space="0" w:color="000000"/>
              <w:left w:val="single" w:sz="8" w:space="0" w:color="000000"/>
              <w:right w:val="single" w:sz="8"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1"/>
              </w:rPr>
            </w:pPr>
          </w:p>
          <w:p>
            <w:pPr>
              <w:pStyle w:val="TableParagraph"/>
              <w:ind w:left="112"/>
              <w:rPr>
                <w:rFonts w:ascii="Times New Roman"/>
                <w:sz w:val="21"/>
              </w:rPr>
            </w:pPr>
            <w:r>
              <w:rPr>
                <w:rFonts w:ascii="Times New Roman"/>
                <w:w w:val="99"/>
                <w:sz w:val="21"/>
              </w:rPr>
              <w:t>4</w:t>
            </w:r>
          </w:p>
        </w:tc>
        <w:tc>
          <w:tcPr>
            <w:tcW w:w="2268" w:type="dxa"/>
            <w:tcBorders>
              <w:top w:val="single" w:sz="8" w:space="0" w:color="000000"/>
              <w:left w:val="single" w:sz="8" w:space="0" w:color="000000"/>
            </w:tcBorders>
          </w:tcPr>
          <w:p>
            <w:pPr>
              <w:pStyle w:val="TableParagraph"/>
              <w:spacing w:line="242" w:lineRule="auto"/>
              <w:ind w:left="111" w:right="77"/>
              <w:rPr>
                <w:sz w:val="18"/>
              </w:rPr>
            </w:pPr>
            <w:r>
              <w:rPr>
                <w:spacing w:val="-9"/>
                <w:sz w:val="18"/>
              </w:rPr>
              <w:t>吴超群在第 </w:t>
            </w:r>
            <w:r>
              <w:rPr>
                <w:rFonts w:ascii="Times New Roman" w:eastAsia="Times New Roman"/>
                <w:sz w:val="18"/>
              </w:rPr>
              <w:t>45</w:t>
            </w:r>
            <w:r>
              <w:rPr>
                <w:rFonts w:ascii="Times New Roman" w:eastAsia="Times New Roman"/>
                <w:spacing w:val="-11"/>
                <w:sz w:val="18"/>
              </w:rPr>
              <w:t> </w:t>
            </w:r>
            <w:r>
              <w:rPr>
                <w:spacing w:val="-4"/>
                <w:sz w:val="18"/>
              </w:rPr>
              <w:t>届世界技能</w:t>
            </w:r>
            <w:r>
              <w:rPr>
                <w:spacing w:val="5"/>
                <w:sz w:val="18"/>
              </w:rPr>
              <w:t>大赛水处理技术项目行业</w:t>
            </w:r>
            <w:r>
              <w:rPr>
                <w:sz w:val="18"/>
              </w:rPr>
              <w:t>选拔赛中荣获一等奖； </w:t>
            </w:r>
            <w:r>
              <w:rPr>
                <w:spacing w:val="-9"/>
                <w:sz w:val="18"/>
              </w:rPr>
              <w:t>周剑锋在第 </w:t>
            </w:r>
            <w:r>
              <w:rPr>
                <w:rFonts w:ascii="Times New Roman" w:eastAsia="Times New Roman"/>
                <w:sz w:val="18"/>
              </w:rPr>
              <w:t>45</w:t>
            </w:r>
            <w:r>
              <w:rPr>
                <w:rFonts w:ascii="Times New Roman" w:eastAsia="Times New Roman"/>
                <w:spacing w:val="-11"/>
                <w:sz w:val="18"/>
              </w:rPr>
              <w:t> </w:t>
            </w:r>
            <w:r>
              <w:rPr>
                <w:spacing w:val="-4"/>
                <w:sz w:val="18"/>
              </w:rPr>
              <w:t>届世界技能</w:t>
            </w:r>
            <w:r>
              <w:rPr>
                <w:spacing w:val="5"/>
                <w:sz w:val="18"/>
              </w:rPr>
              <w:t>大赛水处理技术项目行业</w:t>
            </w:r>
            <w:r>
              <w:rPr>
                <w:sz w:val="18"/>
              </w:rPr>
              <w:t>选拔赛中荣获二等奖； </w:t>
            </w:r>
            <w:r>
              <w:rPr>
                <w:spacing w:val="-11"/>
                <w:sz w:val="18"/>
              </w:rPr>
              <w:t>李瑞祥在 </w:t>
            </w:r>
            <w:r>
              <w:rPr>
                <w:rFonts w:ascii="Times New Roman" w:eastAsia="Times New Roman"/>
                <w:sz w:val="18"/>
              </w:rPr>
              <w:t>2018</w:t>
            </w:r>
            <w:r>
              <w:rPr>
                <w:rFonts w:ascii="Times New Roman" w:eastAsia="Times New Roman"/>
                <w:spacing w:val="-11"/>
                <w:sz w:val="18"/>
              </w:rPr>
              <w:t> </w:t>
            </w:r>
            <w:r>
              <w:rPr>
                <w:spacing w:val="-3"/>
                <w:sz w:val="18"/>
              </w:rPr>
              <w:t>年一带一路</w:t>
            </w:r>
            <w:r>
              <w:rPr>
                <w:spacing w:val="5"/>
                <w:sz w:val="18"/>
              </w:rPr>
              <w:t>暨金砖国家技能发展与技术创新大赛国际选拔赛中</w:t>
            </w:r>
            <w:r>
              <w:rPr>
                <w:sz w:val="18"/>
              </w:rPr>
              <w:t>荣获三等奖；</w:t>
            </w:r>
          </w:p>
          <w:p>
            <w:pPr>
              <w:pStyle w:val="TableParagraph"/>
              <w:spacing w:line="242" w:lineRule="auto"/>
              <w:ind w:left="111" w:right="77"/>
              <w:jc w:val="both"/>
              <w:rPr>
                <w:sz w:val="18"/>
              </w:rPr>
            </w:pPr>
            <w:r>
              <w:rPr>
                <w:spacing w:val="-11"/>
                <w:sz w:val="18"/>
              </w:rPr>
              <w:t>赵威仑在 </w:t>
            </w:r>
            <w:r>
              <w:rPr>
                <w:rFonts w:ascii="Times New Roman" w:eastAsia="Times New Roman"/>
                <w:sz w:val="18"/>
              </w:rPr>
              <w:t>2018 </w:t>
            </w:r>
            <w:r>
              <w:rPr>
                <w:spacing w:val="-3"/>
                <w:sz w:val="18"/>
              </w:rPr>
              <w:t>年一带一路</w:t>
            </w:r>
            <w:r>
              <w:rPr>
                <w:spacing w:val="5"/>
                <w:sz w:val="18"/>
              </w:rPr>
              <w:t>暨金砖国家技能发展与技术创新大赛国际选拔赛中</w:t>
            </w:r>
          </w:p>
          <w:p>
            <w:pPr>
              <w:pStyle w:val="TableParagraph"/>
              <w:spacing w:line="213" w:lineRule="exact" w:before="2"/>
              <w:ind w:left="111"/>
              <w:rPr>
                <w:sz w:val="18"/>
              </w:rPr>
            </w:pPr>
            <w:r>
              <w:rPr>
                <w:sz w:val="18"/>
              </w:rPr>
              <w:t>荣获三等奖。</w:t>
            </w:r>
          </w:p>
        </w:tc>
      </w:tr>
    </w:tbl>
    <w:p>
      <w:pPr>
        <w:spacing w:after="0" w:line="213" w:lineRule="exact"/>
        <w:rPr>
          <w:sz w:val="18"/>
        </w:rPr>
        <w:sectPr>
          <w:pgSz w:w="11910" w:h="16840"/>
          <w:pgMar w:header="780" w:footer="1235" w:top="1260" w:bottom="1440" w:left="0" w:right="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9"/>
        </w:rPr>
      </w:pPr>
    </w:p>
    <w:p>
      <w:pPr>
        <w:pStyle w:val="Heading2"/>
        <w:numPr>
          <w:ilvl w:val="1"/>
          <w:numId w:val="6"/>
        </w:numPr>
        <w:tabs>
          <w:tab w:pos="2471" w:val="left" w:leader="none"/>
          <w:tab w:pos="2472" w:val="left" w:leader="none"/>
        </w:tabs>
        <w:spacing w:line="240" w:lineRule="auto" w:before="78" w:after="0"/>
        <w:ind w:left="2472" w:right="0" w:hanging="574"/>
        <w:jc w:val="left"/>
      </w:pPr>
      <w:bookmarkStart w:name="6.2  与“一带一路”沿线国家合作" w:id="240"/>
      <w:bookmarkEnd w:id="240"/>
      <w:r>
        <w:rPr>
          <w:b w:val="0"/>
        </w:rPr>
      </w:r>
      <w:bookmarkStart w:name="_bookmark86" w:id="241"/>
      <w:bookmarkEnd w:id="241"/>
      <w:r>
        <w:rPr>
          <w:b w:val="0"/>
        </w:rPr>
      </w:r>
      <w:bookmarkStart w:name="_bookmark86" w:id="242"/>
      <w:bookmarkEnd w:id="242"/>
      <w:r>
        <w:rPr/>
        <w:t>与</w:t>
      </w:r>
      <w:r>
        <w:rPr>
          <w:rFonts w:ascii="Arial" w:hAnsi="Arial" w:eastAsia="Arial"/>
        </w:rPr>
        <w:t>“</w:t>
      </w:r>
      <w:r>
        <w:rPr/>
        <w:t>一带一路</w:t>
      </w:r>
      <w:r>
        <w:rPr>
          <w:rFonts w:ascii="Arial" w:hAnsi="Arial" w:eastAsia="Arial"/>
        </w:rPr>
        <w:t>”</w:t>
      </w:r>
      <w:r>
        <w:rPr/>
        <w:t>沿线国家合作</w:t>
      </w:r>
    </w:p>
    <w:p>
      <w:pPr>
        <w:pStyle w:val="BodyText"/>
        <w:spacing w:before="9"/>
        <w:rPr>
          <w:rFonts w:ascii="黑体"/>
          <w:b/>
        </w:rPr>
      </w:pPr>
    </w:p>
    <w:p>
      <w:pPr>
        <w:pStyle w:val="BodyText"/>
        <w:spacing w:line="364" w:lineRule="auto"/>
        <w:ind w:left="1418" w:right="1297" w:firstLine="480"/>
      </w:pPr>
      <w:r>
        <w:rPr>
          <w:spacing w:val="-3"/>
        </w:rPr>
        <w:t>为进一步深化职业教育国际交流与合作，学院坚持走国际化办学之路，主动服务国</w:t>
      </w:r>
      <w:r>
        <w:rPr>
          <w:spacing w:val="-8"/>
        </w:rPr>
        <w:t>家“一带一路”倡议，积极开展国际交流合作，开展海内外文化与学术交流，通过“走</w:t>
      </w:r>
      <w:r>
        <w:rPr>
          <w:spacing w:val="-10"/>
        </w:rPr>
        <w:t>出去、请进来”，聘请国外专家来校科研交流、加强国际化师资的培养，构建多层次的</w:t>
      </w:r>
      <w:r>
        <w:rPr>
          <w:spacing w:val="-17"/>
        </w:rPr>
        <w:t>国际化课程体系，积极促进学生国际交流，打造职教合作样板工程，推动专业教育标准、</w:t>
      </w:r>
      <w:r>
        <w:rPr>
          <w:spacing w:val="-10"/>
        </w:rPr>
        <w:t>课程、师资“走出去”，服务国家“一带一路”国家战略，学院有计划、有步骤地加强</w:t>
      </w:r>
      <w:r>
        <w:rPr>
          <w:spacing w:val="-8"/>
        </w:rPr>
        <w:t>与“一带一路”沿线国家的教育合作，不断提高学院国际化办学水平。基于学院近年来国家交流考察情况和学院已取得招收留学生资格的优势，2018</w:t>
      </w:r>
      <w:r>
        <w:rPr>
          <w:spacing w:val="-14"/>
        </w:rPr>
        <w:t> 年，学院与巴基斯坦、新</w:t>
      </w:r>
      <w:r>
        <w:rPr>
          <w:spacing w:val="-10"/>
        </w:rPr>
        <w:t>西兰、马来西亚、泰国等一带一路沿线国家多所高校签订合作培养协议，联合培养国际</w:t>
      </w:r>
      <w:r>
        <w:rPr>
          <w:spacing w:val="-13"/>
        </w:rPr>
        <w:t>化人才。继续实施马来西亚英迪国际大学 </w:t>
      </w:r>
      <w:r>
        <w:rPr/>
        <w:t>3+X</w:t>
      </w:r>
      <w:r>
        <w:rPr>
          <w:spacing w:val="-12"/>
        </w:rPr>
        <w:t> 专升本项目、泰国斯坦佛国际大学 </w:t>
      </w:r>
      <w:r>
        <w:rPr/>
        <w:t>X+2+1 本硕项目等海外学历提升项目。</w:t>
      </w:r>
    </w:p>
    <w:p>
      <w:pPr>
        <w:pStyle w:val="BodyText"/>
        <w:spacing w:line="302" w:lineRule="exact"/>
        <w:ind w:left="1898"/>
      </w:pPr>
      <w:r>
        <w:rPr>
          <w:spacing w:val="-10"/>
        </w:rPr>
        <w:t>截至目前，已完成了与 </w:t>
      </w:r>
      <w:r>
        <w:rPr/>
        <w:t>5</w:t>
      </w:r>
      <w:r>
        <w:rPr>
          <w:spacing w:val="-18"/>
        </w:rPr>
        <w:t> 所境外学校 </w:t>
      </w:r>
      <w:r>
        <w:rPr/>
        <w:t>9</w:t>
      </w:r>
      <w:r>
        <w:rPr>
          <w:spacing w:val="-10"/>
        </w:rPr>
        <w:t> 个专业的学分互认工作，招收巴基斯坦留学</w:t>
      </w:r>
    </w:p>
    <w:p>
      <w:pPr>
        <w:pStyle w:val="BodyText"/>
        <w:spacing w:before="160"/>
        <w:ind w:left="1418"/>
        <w:jc w:val="both"/>
      </w:pPr>
      <w:r>
        <w:rPr>
          <w:spacing w:val="-30"/>
        </w:rPr>
        <w:t>生 </w:t>
      </w:r>
      <w:r>
        <w:rPr/>
        <w:t>56</w:t>
      </w:r>
      <w:r>
        <w:rPr>
          <w:spacing w:val="-13"/>
        </w:rPr>
        <w:t> 名。接收非全日制境外人员来校培训 </w:t>
      </w:r>
      <w:r>
        <w:rPr/>
        <w:t>1153</w:t>
      </w:r>
      <w:r>
        <w:rPr>
          <w:spacing w:val="-10"/>
        </w:rPr>
        <w:t> 人日，组织学院专人教师副巴基斯坦和</w:t>
      </w:r>
    </w:p>
    <w:p>
      <w:pPr>
        <w:pStyle w:val="BodyText"/>
        <w:spacing w:line="364" w:lineRule="auto" w:before="161"/>
        <w:ind w:left="1418" w:right="1417"/>
        <w:jc w:val="both"/>
      </w:pPr>
      <w:r>
        <w:rPr>
          <w:spacing w:val="-6"/>
        </w:rPr>
        <w:t>泰国相关高校、职业培训机构开展职业教育培训 </w:t>
      </w:r>
      <w:r>
        <w:rPr/>
        <w:t>727</w:t>
      </w:r>
      <w:r>
        <w:rPr>
          <w:spacing w:val="-12"/>
        </w:rPr>
        <w:t> 人日，其中，欧阳广、兰立新等多</w:t>
      </w:r>
      <w:r>
        <w:rPr>
          <w:spacing w:val="-4"/>
        </w:rPr>
        <w:t>位教师被聘为相关院校和机构的客座教授。化学工程学院、制药与生物工程学院、自动</w:t>
      </w:r>
      <w:r>
        <w:rPr>
          <w:spacing w:val="-8"/>
        </w:rPr>
        <w:t>化与信息工程学院、机电工程学院相关专业分别于国外院校合作开发了 </w:t>
      </w:r>
      <w:r>
        <w:rPr/>
        <w:t>7</w:t>
      </w:r>
      <w:r>
        <w:rPr>
          <w:spacing w:val="-12"/>
        </w:rPr>
        <w:t> 个专业教学标</w:t>
      </w:r>
      <w:r>
        <w:rPr/>
        <w:t>准，54</w:t>
      </w:r>
      <w:r>
        <w:rPr>
          <w:spacing w:val="-8"/>
        </w:rPr>
        <w:t> 门课程标准被泰国背部职业教育中心、巴基斯坦无限工程技术学院采用。</w:t>
      </w:r>
    </w:p>
    <w:p>
      <w:pPr>
        <w:pStyle w:val="BodyText"/>
        <w:spacing w:line="364" w:lineRule="auto"/>
        <w:ind w:left="1418" w:right="1417" w:firstLine="480"/>
        <w:jc w:val="both"/>
      </w:pPr>
      <w:r>
        <w:rPr>
          <w:spacing w:val="-7"/>
        </w:rPr>
        <w:t>同时，学院不断加大与一带一路沿线国家的技术交流与合作。一方面，以一带一路</w:t>
      </w:r>
      <w:r>
        <w:rPr>
          <w:spacing w:val="3"/>
        </w:rPr>
        <w:t>沿线国家职业教育发展研究为切入点，深入研究一带一路沿线国家产业布局和人才需</w:t>
      </w:r>
      <w:r>
        <w:rPr>
          <w:spacing w:val="-7"/>
        </w:rPr>
        <w:t>求，并提出了针对性强的实践建议。另一方面，与一带一路沿线国家共建技术研发与服</w:t>
      </w:r>
      <w:r>
        <w:rPr/>
        <w:t>务机构，助力一带一路沿线化工产业发展。</w:t>
      </w:r>
    </w:p>
    <w:p>
      <w:pPr>
        <w:pStyle w:val="Heading2"/>
        <w:spacing w:before="72"/>
        <w:ind w:left="1898" w:firstLine="0"/>
      </w:pPr>
      <w:bookmarkStart w:name="【典型案例18】学院招收泰国、巴基斯坦留学生" w:id="243"/>
      <w:bookmarkEnd w:id="243"/>
      <w:r>
        <w:rPr>
          <w:b w:val="0"/>
        </w:rPr>
      </w:r>
      <w:bookmarkStart w:name="_bookmark87" w:id="244"/>
      <w:bookmarkEnd w:id="244"/>
      <w:r>
        <w:rPr>
          <w:b w:val="0"/>
        </w:rPr>
      </w:r>
      <w:r>
        <w:rPr/>
        <w:t>【典型案例 18】学院招收泰国、巴基斯坦留学生</w:t>
      </w:r>
    </w:p>
    <w:p>
      <w:pPr>
        <w:pStyle w:val="BodyText"/>
        <w:spacing w:line="460" w:lineRule="atLeast" w:before="164"/>
        <w:ind w:left="1418" w:right="1454" w:firstLine="480"/>
      </w:pPr>
      <w:r>
        <w:rPr>
          <w:color w:val="3366FF"/>
          <w:spacing w:val="-9"/>
        </w:rPr>
        <w:t>学校积极开展“一带一路”国际化人才培养培训项目，针对“一带一路”国际化人</w:t>
      </w:r>
      <w:r>
        <w:rPr>
          <w:color w:val="3366FF"/>
        </w:rPr>
        <w:t>才的培养需求，制定了相关专业的短期实训项目。9</w:t>
      </w:r>
      <w:r>
        <w:rPr>
          <w:color w:val="3366FF"/>
          <w:spacing w:val="-14"/>
        </w:rPr>
        <w:t> 月接收巴基斯坦 </w:t>
      </w:r>
      <w:r>
        <w:rPr>
          <w:color w:val="3366FF"/>
        </w:rPr>
        <w:t>Infinity</w:t>
      </w:r>
      <w:r>
        <w:rPr>
          <w:color w:val="3366FF"/>
          <w:spacing w:val="-15"/>
        </w:rPr>
        <w:t> 工程学</w:t>
      </w:r>
      <w:r>
        <w:rPr>
          <w:color w:val="3366FF"/>
          <w:spacing w:val="-38"/>
        </w:rPr>
        <w:t>院 </w:t>
      </w:r>
      <w:r>
        <w:rPr>
          <w:color w:val="3366FF"/>
        </w:rPr>
        <w:t>8</w:t>
      </w:r>
      <w:r>
        <w:rPr>
          <w:color w:val="3366FF"/>
          <w:spacing w:val="-8"/>
        </w:rPr>
        <w:t> 名学员来校开展日用化学品、工业机器人、电气技术专业实训及汉语学习项目</w:t>
      </w:r>
      <w:r>
        <w:rPr>
          <w:color w:val="3366FF"/>
        </w:rPr>
        <w:t>(16 天)、10</w:t>
      </w:r>
      <w:r>
        <w:rPr>
          <w:color w:val="3366FF"/>
          <w:spacing w:val="-11"/>
        </w:rPr>
        <w:t> 月接收泰国北部披集农业技术学院等四所院校师生 </w:t>
      </w:r>
      <w:r>
        <w:rPr>
          <w:color w:val="3366FF"/>
        </w:rPr>
        <w:t>16</w:t>
      </w:r>
      <w:r>
        <w:rPr>
          <w:color w:val="3366FF"/>
          <w:spacing w:val="-8"/>
        </w:rPr>
        <w:t> 人来校开展食品生物技术专业实训及汉语学习项目(15 天)，并开展丰富多彩的海外学生文化交流活动。为了</w:t>
      </w:r>
      <w:r>
        <w:rPr>
          <w:color w:val="3366FF"/>
          <w:spacing w:val="-14"/>
        </w:rPr>
        <w:t>达到最佳培训效果，各专业教师前期做了大量准备工作，基础课部英语教师参与了课程</w:t>
      </w:r>
    </w:p>
    <w:p>
      <w:pPr>
        <w:spacing w:after="0" w:line="460" w:lineRule="atLeast"/>
        <w:sectPr>
          <w:footerReference w:type="default" r:id="rId84"/>
          <w:pgSz w:w="11910" w:h="16840"/>
          <w:pgMar w:footer="1240" w:header="780" w:top="1260" w:bottom="1440" w:left="0" w:right="0"/>
          <w:pgNumType w:start="60"/>
        </w:sectPr>
      </w:pPr>
    </w:p>
    <w:p>
      <w:pPr>
        <w:pStyle w:val="BodyText"/>
        <w:rPr>
          <w:sz w:val="12"/>
        </w:rPr>
      </w:pPr>
    </w:p>
    <w:p>
      <w:pPr>
        <w:pStyle w:val="BodyText"/>
        <w:spacing w:line="364" w:lineRule="auto" w:before="66"/>
        <w:ind w:left="1418" w:right="1336"/>
      </w:pPr>
      <w:r>
        <w:rPr/>
        <w:drawing>
          <wp:anchor distT="0" distB="0" distL="0" distR="0" allowOverlap="1" layoutInCell="1" locked="0" behindDoc="0" simplePos="0" relativeHeight="29">
            <wp:simplePos x="0" y="0"/>
            <wp:positionH relativeFrom="page">
              <wp:posOffset>1380744</wp:posOffset>
            </wp:positionH>
            <wp:positionV relativeFrom="paragraph">
              <wp:posOffset>975486</wp:posOffset>
            </wp:positionV>
            <wp:extent cx="4757944" cy="2381250"/>
            <wp:effectExtent l="0" t="0" r="0" b="0"/>
            <wp:wrapTopAndBottom/>
            <wp:docPr id="153" name="image68.jpeg"/>
            <wp:cNvGraphicFramePr>
              <a:graphicFrameLocks noChangeAspect="1"/>
            </wp:cNvGraphicFramePr>
            <a:graphic>
              <a:graphicData uri="http://schemas.openxmlformats.org/drawingml/2006/picture">
                <pic:pic>
                  <pic:nvPicPr>
                    <pic:cNvPr id="154" name="image68.jpeg"/>
                    <pic:cNvPicPr/>
                  </pic:nvPicPr>
                  <pic:blipFill>
                    <a:blip r:embed="rId85" cstate="print"/>
                    <a:stretch>
                      <a:fillRect/>
                    </a:stretch>
                  </pic:blipFill>
                  <pic:spPr>
                    <a:xfrm>
                      <a:off x="0" y="0"/>
                      <a:ext cx="4757944" cy="2381250"/>
                    </a:xfrm>
                    <a:prstGeom prst="rect">
                      <a:avLst/>
                    </a:prstGeom>
                  </pic:spPr>
                </pic:pic>
              </a:graphicData>
            </a:graphic>
          </wp:anchor>
        </w:drawing>
      </w:r>
      <w:r>
        <w:rPr>
          <w:color w:val="3366FF"/>
          <w:spacing w:val="-9"/>
        </w:rPr>
        <w:t>资料翻译，教学效果良好。培训期间，各部门工作人员为留学生们的学习、生活起居及</w:t>
      </w:r>
      <w:r>
        <w:rPr>
          <w:color w:val="3366FF"/>
          <w:spacing w:val="-18"/>
        </w:rPr>
        <w:t>安全积极创造条件，付出了辛勤的劳动。两次培训均获得圆满成功，完成预期培训任务， </w:t>
      </w:r>
      <w:r>
        <w:rPr>
          <w:color w:val="3366FF"/>
        </w:rPr>
        <w:t>得到了参培学员及单位的高度肯定，在一定程度上提升了我校的国际影响力。</w:t>
      </w:r>
    </w:p>
    <w:p>
      <w:pPr>
        <w:tabs>
          <w:tab w:pos="791" w:val="left" w:leader="none"/>
        </w:tabs>
        <w:spacing w:before="152"/>
        <w:ind w:left="0" w:right="26" w:firstLine="0"/>
        <w:jc w:val="center"/>
        <w:rPr>
          <w:b/>
          <w:sz w:val="21"/>
        </w:rPr>
      </w:pPr>
      <w:r>
        <w:rPr>
          <w:b/>
          <w:sz w:val="21"/>
        </w:rPr>
        <w:t>图</w:t>
      </w:r>
      <w:r>
        <w:rPr>
          <w:b/>
          <w:spacing w:val="-53"/>
          <w:sz w:val="21"/>
        </w:rPr>
        <w:t> </w:t>
      </w:r>
      <w:r>
        <w:rPr>
          <w:b/>
          <w:sz w:val="21"/>
        </w:rPr>
        <w:t>6-1</w:t>
        <w:tab/>
        <w:t>泰国留学生体验中国传统文化</w:t>
      </w:r>
    </w:p>
    <w:p>
      <w:pPr>
        <w:pStyle w:val="Heading2"/>
        <w:spacing w:before="101"/>
        <w:ind w:left="1898" w:firstLine="0"/>
      </w:pPr>
      <w:bookmarkStart w:name="【典型案例19】学院与Infinity工程学院互建教学点" w:id="245"/>
      <w:bookmarkEnd w:id="245"/>
      <w:r>
        <w:rPr>
          <w:b w:val="0"/>
        </w:rPr>
      </w:r>
      <w:bookmarkStart w:name="_bookmark88" w:id="246"/>
      <w:bookmarkEnd w:id="246"/>
      <w:r>
        <w:rPr>
          <w:b w:val="0"/>
        </w:rPr>
      </w:r>
      <w:r>
        <w:rPr/>
        <w:t>【典型案例 19】学院与 Infinity 工程学院互建教学点</w:t>
      </w:r>
    </w:p>
    <w:p>
      <w:pPr>
        <w:pStyle w:val="BodyText"/>
        <w:spacing w:before="7"/>
        <w:rPr>
          <w:rFonts w:ascii="黑体"/>
          <w:b/>
        </w:rPr>
      </w:pPr>
    </w:p>
    <w:p>
      <w:pPr>
        <w:pStyle w:val="BodyText"/>
        <w:spacing w:line="364" w:lineRule="auto"/>
        <w:ind w:left="1418" w:right="1334" w:firstLine="480"/>
      </w:pPr>
      <w:r>
        <w:rPr>
          <w:color w:val="3366FF"/>
          <w:spacing w:val="-10"/>
        </w:rPr>
        <w:t>近年来，学校加大对外开放力度，组织学校特色专业群及相关部门负责人赴巴基斯</w:t>
      </w:r>
      <w:r>
        <w:rPr>
          <w:color w:val="3366FF"/>
          <w:spacing w:val="-16"/>
        </w:rPr>
        <w:t>坦等国开展“一带一路”职业教育洽谈与合作、参与中国职业教育“走出去”试点项目， </w:t>
      </w:r>
      <w:r>
        <w:rPr>
          <w:color w:val="3366FF"/>
          <w:spacing w:val="-11"/>
        </w:rPr>
        <w:t>并与国外院校签订了一系列友好合作协议，积极推动“一带一路”职业教育交流与合作。</w:t>
      </w:r>
    </w:p>
    <w:p>
      <w:pPr>
        <w:pStyle w:val="BodyText"/>
        <w:spacing w:line="364" w:lineRule="auto" w:before="2"/>
        <w:ind w:left="1418" w:right="1454" w:firstLine="480"/>
        <w:jc w:val="both"/>
      </w:pPr>
      <w:r>
        <w:rPr>
          <w:color w:val="3366FF"/>
        </w:rPr>
        <w:t>2018</w:t>
      </w:r>
      <w:r>
        <w:rPr>
          <w:color w:val="3366FF"/>
          <w:spacing w:val="-40"/>
        </w:rPr>
        <w:t> 年 </w:t>
      </w:r>
      <w:r>
        <w:rPr>
          <w:color w:val="3366FF"/>
        </w:rPr>
        <w:t>4</w:t>
      </w:r>
      <w:r>
        <w:rPr>
          <w:color w:val="3366FF"/>
          <w:spacing w:val="-40"/>
        </w:rPr>
        <w:t> 月 </w:t>
      </w:r>
      <w:r>
        <w:rPr>
          <w:color w:val="3366FF"/>
        </w:rPr>
        <w:t>24</w:t>
      </w:r>
      <w:r>
        <w:rPr>
          <w:color w:val="3366FF"/>
          <w:spacing w:val="-30"/>
        </w:rPr>
        <w:t> 日至 </w:t>
      </w:r>
      <w:r>
        <w:rPr>
          <w:color w:val="3366FF"/>
        </w:rPr>
        <w:t>26</w:t>
      </w:r>
      <w:r>
        <w:rPr>
          <w:color w:val="3366FF"/>
          <w:spacing w:val="-90"/>
        </w:rPr>
        <w:t> 日，</w:t>
      </w:r>
      <w:r>
        <w:rPr>
          <w:color w:val="3366FF"/>
        </w:rPr>
        <w:t>“2018</w:t>
      </w:r>
      <w:r>
        <w:rPr>
          <w:color w:val="3366FF"/>
          <w:spacing w:val="-9"/>
        </w:rPr>
        <w:t> 巴基斯坦—中国职业教育国际合作论坛及资源展</w:t>
      </w:r>
      <w:r>
        <w:rPr>
          <w:color w:val="3366FF"/>
          <w:spacing w:val="-10"/>
        </w:rPr>
        <w:t>览洽谈会”在巴基斯坦卡拉奇市举行。我校由校党委副书记刘毅副教授带队，化工学院</w:t>
      </w:r>
      <w:r>
        <w:rPr>
          <w:color w:val="3366FF"/>
          <w:spacing w:val="-8"/>
        </w:rPr>
        <w:t>院长兰立新教授、制药学院院长陈杰山教授、国际交流处处长肖虹副教授、化工专业负</w:t>
      </w:r>
      <w:r>
        <w:rPr>
          <w:color w:val="3366FF"/>
          <w:spacing w:val="-4"/>
        </w:rPr>
        <w:t>责人张翔博士一行五人参加了此次活动。通过广泛沟通交流考察，我校与巴基斯坦 </w:t>
      </w:r>
      <w:r>
        <w:rPr>
          <w:color w:val="3366FF"/>
          <w:spacing w:val="-6"/>
        </w:rPr>
        <w:t>NED </w:t>
      </w:r>
      <w:r>
        <w:rPr>
          <w:color w:val="3366FF"/>
        </w:rPr>
        <w:t>工程技术大学、Infinity</w:t>
      </w:r>
      <w:r>
        <w:rPr>
          <w:color w:val="3366FF"/>
          <w:spacing w:val="-8"/>
        </w:rPr>
        <w:t> 工程学院、信德技术教育委员会、</w:t>
      </w:r>
      <w:r>
        <w:rPr>
          <w:color w:val="3366FF"/>
        </w:rPr>
        <w:t>Educast</w:t>
      </w:r>
      <w:r>
        <w:rPr>
          <w:color w:val="3366FF"/>
          <w:spacing w:val="-10"/>
        </w:rPr>
        <w:t> 技术公司、</w:t>
      </w:r>
      <w:r>
        <w:rPr>
          <w:color w:val="3366FF"/>
        </w:rPr>
        <w:t>Hazza 技术学院、ZASHO</w:t>
      </w:r>
      <w:r>
        <w:rPr>
          <w:color w:val="3366FF"/>
          <w:spacing w:val="-8"/>
        </w:rPr>
        <w:t> 技术公司等签定了合作意向书或合作协议。</w:t>
      </w:r>
    </w:p>
    <w:p>
      <w:pPr>
        <w:pStyle w:val="BodyText"/>
        <w:spacing w:line="364" w:lineRule="auto" w:before="3"/>
        <w:ind w:left="1418" w:right="1454" w:firstLine="480"/>
        <w:jc w:val="both"/>
      </w:pPr>
      <w:r>
        <w:rPr>
          <w:color w:val="3366FF"/>
        </w:rPr>
        <w:t>2018</w:t>
      </w:r>
      <w:r>
        <w:rPr>
          <w:color w:val="3366FF"/>
          <w:spacing w:val="-40"/>
        </w:rPr>
        <w:t> 年 </w:t>
      </w:r>
      <w:r>
        <w:rPr>
          <w:color w:val="3366FF"/>
        </w:rPr>
        <w:t>5</w:t>
      </w:r>
      <w:r>
        <w:rPr>
          <w:color w:val="3366FF"/>
          <w:spacing w:val="-40"/>
        </w:rPr>
        <w:t> 月 </w:t>
      </w:r>
      <w:r>
        <w:rPr>
          <w:color w:val="3366FF"/>
        </w:rPr>
        <w:t>23</w:t>
      </w:r>
      <w:r>
        <w:rPr>
          <w:color w:val="3366FF"/>
          <w:spacing w:val="-16"/>
        </w:rPr>
        <w:t> 日，巴基斯坦 </w:t>
      </w:r>
      <w:r>
        <w:rPr>
          <w:color w:val="3366FF"/>
        </w:rPr>
        <w:t>Infinity</w:t>
      </w:r>
      <w:r>
        <w:rPr>
          <w:color w:val="3366FF"/>
          <w:spacing w:val="-13"/>
        </w:rPr>
        <w:t> 工程学院首席执行官 </w:t>
      </w:r>
      <w:r>
        <w:rPr>
          <w:color w:val="3366FF"/>
        </w:rPr>
        <w:t>Abdur</w:t>
      </w:r>
      <w:r>
        <w:rPr>
          <w:color w:val="3366FF"/>
          <w:spacing w:val="-46"/>
        </w:rPr>
        <w:t> </w:t>
      </w:r>
      <w:r>
        <w:rPr>
          <w:color w:val="3366FF"/>
        </w:rPr>
        <w:t>Razzaq</w:t>
      </w:r>
      <w:r>
        <w:rPr>
          <w:color w:val="3366FF"/>
          <w:spacing w:val="-44"/>
        </w:rPr>
        <w:t> </w:t>
      </w:r>
      <w:r>
        <w:rPr>
          <w:color w:val="3366FF"/>
          <w:spacing w:val="-3"/>
        </w:rPr>
        <w:t>Gauhar </w:t>
      </w:r>
      <w:r>
        <w:rPr>
          <w:color w:val="3366FF"/>
          <w:spacing w:val="-5"/>
        </w:rPr>
        <w:t>先生、</w:t>
      </w:r>
      <w:r>
        <w:rPr>
          <w:color w:val="3366FF"/>
        </w:rPr>
        <w:t>Infinity</w:t>
      </w:r>
      <w:r>
        <w:rPr>
          <w:color w:val="3366FF"/>
          <w:spacing w:val="-8"/>
        </w:rPr>
        <w:t> 集团公司主席 </w:t>
      </w:r>
      <w:r>
        <w:rPr>
          <w:color w:val="3366FF"/>
        </w:rPr>
        <w:t>Iqbal</w:t>
      </w:r>
      <w:r>
        <w:rPr>
          <w:color w:val="3366FF"/>
          <w:spacing w:val="-60"/>
        </w:rPr>
        <w:t> </w:t>
      </w:r>
      <w:r>
        <w:rPr>
          <w:color w:val="3366FF"/>
        </w:rPr>
        <w:t>Khalid</w:t>
      </w:r>
      <w:r>
        <w:rPr>
          <w:color w:val="3366FF"/>
          <w:spacing w:val="-10"/>
        </w:rPr>
        <w:t> 先生一行来访我校。与我校签订了联合办</w:t>
      </w:r>
      <w:r>
        <w:rPr>
          <w:color w:val="3366FF"/>
          <w:spacing w:val="-7"/>
        </w:rPr>
        <w:t>学协议。并举行了 </w:t>
      </w:r>
      <w:r>
        <w:rPr>
          <w:color w:val="3366FF"/>
        </w:rPr>
        <w:t>Infinity</w:t>
      </w:r>
      <w:r>
        <w:rPr>
          <w:color w:val="3366FF"/>
          <w:spacing w:val="-8"/>
        </w:rPr>
        <w:t> 工程学院(巴基斯坦)现代化工和制药技术教学实训基地揭</w:t>
      </w:r>
      <w:r>
        <w:rPr>
          <w:color w:val="3366FF"/>
          <w:spacing w:val="-36"/>
        </w:rPr>
        <w:t>牌仪式。</w:t>
      </w:r>
      <w:r>
        <w:rPr>
          <w:color w:val="3366FF"/>
        </w:rPr>
        <w:t>8</w:t>
      </w:r>
      <w:r>
        <w:rPr>
          <w:color w:val="3366FF"/>
          <w:spacing w:val="-24"/>
        </w:rPr>
        <w:t> 月</w:t>
      </w:r>
      <w:r>
        <w:rPr>
          <w:color w:val="3366FF"/>
        </w:rPr>
        <w:t>6</w:t>
      </w:r>
      <w:r>
        <w:rPr>
          <w:color w:val="3366FF"/>
          <w:spacing w:val="-43"/>
        </w:rPr>
        <w:t> 日</w:t>
      </w:r>
      <w:r>
        <w:rPr>
          <w:color w:val="3366FF"/>
        </w:rPr>
        <w:t>-10</w:t>
      </w:r>
      <w:r>
        <w:rPr>
          <w:color w:val="3366FF"/>
          <w:spacing w:val="-15"/>
        </w:rPr>
        <w:t> 日，副校长易卫国教授一行</w:t>
      </w:r>
      <w:r>
        <w:rPr>
          <w:color w:val="3366FF"/>
        </w:rPr>
        <w:t>6</w:t>
      </w:r>
      <w:r>
        <w:rPr>
          <w:color w:val="3366FF"/>
          <w:spacing w:val="-15"/>
        </w:rPr>
        <w:t> 人赴巴基斯坦访问交流，回访</w:t>
      </w:r>
      <w:r>
        <w:rPr>
          <w:color w:val="3366FF"/>
        </w:rPr>
        <w:t>Infinity </w:t>
      </w:r>
      <w:r>
        <w:rPr>
          <w:color w:val="3366FF"/>
          <w:spacing w:val="-5"/>
        </w:rPr>
        <w:t>工程学院及集团公司，在 </w:t>
      </w:r>
      <w:r>
        <w:rPr>
          <w:color w:val="3366FF"/>
        </w:rPr>
        <w:t>Infinity</w:t>
      </w:r>
      <w:r>
        <w:rPr>
          <w:color w:val="3366FF"/>
          <w:spacing w:val="-8"/>
        </w:rPr>
        <w:t> 工程学院设立湖南化工职业技术学院教学点，举行</w:t>
      </w:r>
      <w:r>
        <w:rPr>
          <w:color w:val="3366FF"/>
          <w:spacing w:val="-13"/>
        </w:rPr>
        <w:t>教学点揭幕仪式。今年 </w:t>
      </w:r>
      <w:r>
        <w:rPr>
          <w:color w:val="3366FF"/>
        </w:rPr>
        <w:t>9</w:t>
      </w:r>
      <w:r>
        <w:rPr>
          <w:color w:val="3366FF"/>
          <w:spacing w:val="-13"/>
        </w:rPr>
        <w:t> 月，学院接收巴基斯坦 </w:t>
      </w:r>
      <w:r>
        <w:rPr>
          <w:color w:val="3366FF"/>
        </w:rPr>
        <w:t>Infinity</w:t>
      </w:r>
      <w:r>
        <w:rPr>
          <w:color w:val="3366FF"/>
          <w:spacing w:val="-21"/>
        </w:rPr>
        <w:t> 工程学院 </w:t>
      </w:r>
      <w:r>
        <w:rPr>
          <w:color w:val="3366FF"/>
        </w:rPr>
        <w:t>8</w:t>
      </w:r>
      <w:r>
        <w:rPr>
          <w:color w:val="3366FF"/>
          <w:spacing w:val="-8"/>
        </w:rPr>
        <w:t> 名学员来校开展日用化学品、工业机器人、电气技术专业实训及汉语学习项目(16</w:t>
      </w:r>
      <w:r>
        <w:rPr>
          <w:color w:val="3366FF"/>
          <w:spacing w:val="-16"/>
        </w:rPr>
        <w:t> 天)。</w:t>
      </w:r>
    </w:p>
    <w:p>
      <w:pPr>
        <w:spacing w:after="0" w:line="364" w:lineRule="auto"/>
        <w:jc w:val="both"/>
        <w:sectPr>
          <w:pgSz w:w="11910" w:h="16840"/>
          <w:pgMar w:header="780" w:footer="1240" w:top="1260" w:bottom="1440" w:left="0" w:right="0"/>
        </w:sectPr>
      </w:pPr>
    </w:p>
    <w:p>
      <w:pPr>
        <w:pStyle w:val="Heading2"/>
        <w:spacing w:line="362" w:lineRule="auto" w:before="141"/>
        <w:ind w:left="1418" w:right="1303" w:firstLine="480"/>
      </w:pPr>
      <w:bookmarkStart w:name="【典型案例20】学院与巴基斯坦签订成立“中巴经济走廊化工涂料技术交流中心”项目" w:id="247"/>
      <w:bookmarkEnd w:id="247"/>
      <w:r>
        <w:rPr>
          <w:b w:val="0"/>
        </w:rPr>
      </w:r>
      <w:bookmarkStart w:name="_bookmark89" w:id="248"/>
      <w:bookmarkEnd w:id="248"/>
      <w:r>
        <w:rPr>
          <w:b w:val="0"/>
        </w:rPr>
      </w:r>
      <w:r>
        <w:rPr>
          <w:spacing w:val="-8"/>
        </w:rPr>
        <w:t>【典型案例 </w:t>
      </w:r>
      <w:r>
        <w:rPr/>
        <w:t>20</w:t>
      </w:r>
      <w:r>
        <w:rPr>
          <w:spacing w:val="-8"/>
        </w:rPr>
        <w:t>】学院与巴基斯坦签订成立“中巴经济走廊化工涂料技术交流中心” 项目</w:t>
      </w:r>
    </w:p>
    <w:p>
      <w:pPr>
        <w:pStyle w:val="BodyText"/>
        <w:spacing w:line="364" w:lineRule="auto" w:before="81"/>
        <w:ind w:left="1418" w:right="1417" w:firstLine="480"/>
      </w:pPr>
      <w:r>
        <w:rPr>
          <w:color w:val="3366FF"/>
          <w:spacing w:val="-9"/>
        </w:rPr>
        <w:t>为做好“一带一路”工作，提升“一带一路”沿线国家科技水平发展，学校科研处</w:t>
      </w:r>
      <w:r>
        <w:rPr>
          <w:color w:val="3366FF"/>
          <w:spacing w:val="-8"/>
        </w:rPr>
        <w:t>与对外联络处于 </w:t>
      </w:r>
      <w:r>
        <w:rPr>
          <w:color w:val="3366FF"/>
        </w:rPr>
        <w:t>2018</w:t>
      </w:r>
      <w:r>
        <w:rPr>
          <w:color w:val="3366FF"/>
          <w:spacing w:val="-40"/>
        </w:rPr>
        <w:t> 年 </w:t>
      </w:r>
      <w:r>
        <w:rPr>
          <w:color w:val="3366FF"/>
        </w:rPr>
        <w:t>11</w:t>
      </w:r>
      <w:r>
        <w:rPr>
          <w:color w:val="3366FF"/>
          <w:spacing w:val="-40"/>
        </w:rPr>
        <w:t> 月 </w:t>
      </w:r>
      <w:r>
        <w:rPr>
          <w:color w:val="3366FF"/>
        </w:rPr>
        <w:t>18</w:t>
      </w:r>
      <w:r>
        <w:rPr>
          <w:color w:val="3366FF"/>
          <w:spacing w:val="-8"/>
        </w:rPr>
        <w:t> 日下午与巴基斯坦代表召开了中巴涂料技术交流会。巴基斯坦联合通讯社中国负责人穆罕姆德</w:t>
      </w:r>
      <w:r>
        <w:rPr>
          <w:rFonts w:ascii="Arial" w:hAnsi="Arial" w:eastAsia="Arial"/>
          <w:color w:val="3366FF"/>
          <w:spacing w:val="-8"/>
        </w:rPr>
        <w:t>ˑ</w:t>
      </w:r>
      <w:r>
        <w:rPr>
          <w:color w:val="3366FF"/>
          <w:spacing w:val="-8"/>
        </w:rPr>
        <w:t>阿斯加尔、中博军科巴基斯坦公司总裁邱卫东、鸿昌涂料化工有限公司、湖南邦弗特新材料技术有限公司等校友企业代表、学院副</w:t>
      </w:r>
      <w:r>
        <w:rPr>
          <w:color w:val="3366FF"/>
          <w:spacing w:val="-7"/>
        </w:rPr>
        <w:t>校长童孟良、对外联络处、科研处等职能部门人员及学院相关专业教授、骨干教师参加</w:t>
      </w:r>
      <w:r>
        <w:rPr>
          <w:color w:val="3366FF"/>
        </w:rPr>
        <w:t>了交流。</w:t>
      </w:r>
    </w:p>
    <w:p>
      <w:pPr>
        <w:pStyle w:val="BodyText"/>
        <w:spacing w:line="364" w:lineRule="auto"/>
        <w:ind w:left="1418" w:right="1365" w:firstLine="480"/>
        <w:jc w:val="both"/>
      </w:pPr>
      <w:r>
        <w:rPr/>
        <w:drawing>
          <wp:anchor distT="0" distB="0" distL="0" distR="0" allowOverlap="1" layoutInCell="1" locked="0" behindDoc="0" simplePos="0" relativeHeight="30">
            <wp:simplePos x="0" y="0"/>
            <wp:positionH relativeFrom="page">
              <wp:posOffset>1708404</wp:posOffset>
            </wp:positionH>
            <wp:positionV relativeFrom="paragraph">
              <wp:posOffset>3624960</wp:posOffset>
            </wp:positionV>
            <wp:extent cx="4158659" cy="2460117"/>
            <wp:effectExtent l="0" t="0" r="0" b="0"/>
            <wp:wrapTopAndBottom/>
            <wp:docPr id="155" name="image69.jpeg"/>
            <wp:cNvGraphicFramePr>
              <a:graphicFrameLocks noChangeAspect="1"/>
            </wp:cNvGraphicFramePr>
            <a:graphic>
              <a:graphicData uri="http://schemas.openxmlformats.org/drawingml/2006/picture">
                <pic:pic>
                  <pic:nvPicPr>
                    <pic:cNvPr id="156" name="image69.jpeg"/>
                    <pic:cNvPicPr/>
                  </pic:nvPicPr>
                  <pic:blipFill>
                    <a:blip r:embed="rId86" cstate="print"/>
                    <a:stretch>
                      <a:fillRect/>
                    </a:stretch>
                  </pic:blipFill>
                  <pic:spPr>
                    <a:xfrm>
                      <a:off x="0" y="0"/>
                      <a:ext cx="4158659" cy="2460117"/>
                    </a:xfrm>
                    <a:prstGeom prst="rect">
                      <a:avLst/>
                    </a:prstGeom>
                  </pic:spPr>
                </pic:pic>
              </a:graphicData>
            </a:graphic>
          </wp:anchor>
        </w:drawing>
      </w:r>
      <w:r>
        <w:rPr>
          <w:color w:val="3366FF"/>
          <w:spacing w:val="-1"/>
        </w:rPr>
        <w:t>我院分管科研的校长童孟良向与会代表介绍了学院近年来的发展情况及办学条件， </w:t>
      </w:r>
      <w:r>
        <w:rPr>
          <w:color w:val="3366FF"/>
          <w:spacing w:val="-3"/>
        </w:rPr>
        <w:t>在化工专业领域尤其是涂料研发方面取得的教科研成果，以及能与国内外专家和企业代</w:t>
      </w:r>
      <w:r>
        <w:rPr>
          <w:color w:val="3366FF"/>
          <w:spacing w:val="-5"/>
        </w:rPr>
        <w:t>表进行学术交流的重要意义和后续相关合作的强烈愿景。巴基斯坦联合通讯社中国负责人穆罕姆德</w:t>
      </w:r>
      <w:r>
        <w:rPr>
          <w:rFonts w:ascii="Arial" w:hAnsi="Arial" w:eastAsia="Arial"/>
          <w:color w:val="3366FF"/>
          <w:spacing w:val="-5"/>
        </w:rPr>
        <w:t>ˑ</w:t>
      </w:r>
      <w:r>
        <w:rPr>
          <w:color w:val="3366FF"/>
          <w:spacing w:val="-12"/>
        </w:rPr>
        <w:t>阿斯加尔先生对“中巴经济走廊”项目进展及巴基斯坦涂料行业情况、中国</w:t>
      </w:r>
      <w:r>
        <w:rPr>
          <w:color w:val="3366FF"/>
          <w:spacing w:val="-14"/>
        </w:rPr>
        <w:t>在巴基斯坦学习和工作的人员情况进行了介绍，表示与中国进行该专业领域的合作和学</w:t>
      </w:r>
      <w:r>
        <w:rPr>
          <w:color w:val="3366FF"/>
          <w:spacing w:val="-17"/>
        </w:rPr>
        <w:t>习能够很好地促进本国技术的提升，在“一带一路”的背景下中巴的友谊和战略合作进</w:t>
      </w:r>
      <w:r>
        <w:rPr>
          <w:color w:val="3366FF"/>
          <w:spacing w:val="-13"/>
        </w:rPr>
        <w:t>入了新阶段。巴基斯坦白沙瓦市副市长、文化部官员扎法鲁拉发来了对“中巴经济走廊</w:t>
      </w:r>
      <w:r>
        <w:rPr>
          <w:color w:val="3366FF"/>
          <w:spacing w:val="-14"/>
        </w:rPr>
        <w:t>化工涂料技术交流中心”成立的祝贺视频。童孟良教授代表学院和中博军科巴基斯坦公司总裁邱卫东完成了成立“中巴经济走廊化工涂料技术交流中心”的授牌仪式并表示借</w:t>
      </w:r>
      <w:r>
        <w:rPr>
          <w:color w:val="3366FF"/>
          <w:spacing w:val="-6"/>
        </w:rPr>
        <w:t>助“中巴经济走廊化工涂料技术交流中心”的平台，希望我校能与各企业达成形式更为</w:t>
      </w:r>
      <w:r>
        <w:rPr>
          <w:color w:val="3366FF"/>
          <w:spacing w:val="-9"/>
        </w:rPr>
        <w:t>多样、内容更为丰富、层次更为深入的国际和国内校企合作项目，促进学院产教融合和国际交流与合作工作，深化校际、校企友谊。</w:t>
      </w:r>
    </w:p>
    <w:p>
      <w:pPr>
        <w:tabs>
          <w:tab w:pos="791" w:val="left" w:leader="none"/>
        </w:tabs>
        <w:spacing w:before="66"/>
        <w:ind w:left="0" w:right="26" w:firstLine="0"/>
        <w:jc w:val="center"/>
        <w:rPr>
          <w:b/>
          <w:sz w:val="21"/>
        </w:rPr>
      </w:pPr>
      <w:r>
        <w:rPr>
          <w:b/>
          <w:sz w:val="21"/>
        </w:rPr>
        <w:t>图</w:t>
      </w:r>
      <w:r>
        <w:rPr>
          <w:b/>
          <w:spacing w:val="-53"/>
          <w:sz w:val="21"/>
        </w:rPr>
        <w:t> </w:t>
      </w:r>
      <w:r>
        <w:rPr>
          <w:b/>
          <w:sz w:val="21"/>
        </w:rPr>
        <w:t>6-2</w:t>
        <w:tab/>
        <w:t>中巴经济走廊涂料技术交流会</w:t>
      </w:r>
    </w:p>
    <w:p>
      <w:pPr>
        <w:spacing w:after="0"/>
        <w:jc w:val="center"/>
        <w:rPr>
          <w:sz w:val="21"/>
        </w:rPr>
        <w:sectPr>
          <w:pgSz w:w="11910" w:h="16840"/>
          <w:pgMar w:header="780" w:footer="1240" w:top="1260" w:bottom="1440" w:left="0" w:right="0"/>
        </w:sectPr>
      </w:pPr>
    </w:p>
    <w:p>
      <w:pPr>
        <w:pStyle w:val="BodyText"/>
        <w:spacing w:before="9"/>
        <w:rPr>
          <w:b/>
          <w:sz w:val="16"/>
        </w:rPr>
      </w:pPr>
    </w:p>
    <w:p>
      <w:pPr>
        <w:pStyle w:val="BodyText"/>
        <w:ind w:left="2791"/>
        <w:rPr>
          <w:sz w:val="20"/>
        </w:rPr>
      </w:pPr>
      <w:r>
        <w:rPr>
          <w:sz w:val="20"/>
        </w:rPr>
        <w:drawing>
          <wp:inline distT="0" distB="0" distL="0" distR="0">
            <wp:extent cx="4026002" cy="2502027"/>
            <wp:effectExtent l="0" t="0" r="0" b="0"/>
            <wp:docPr id="157" name="image70.jpeg"/>
            <wp:cNvGraphicFramePr>
              <a:graphicFrameLocks noChangeAspect="1"/>
            </wp:cNvGraphicFramePr>
            <a:graphic>
              <a:graphicData uri="http://schemas.openxmlformats.org/drawingml/2006/picture">
                <pic:pic>
                  <pic:nvPicPr>
                    <pic:cNvPr id="158" name="image70.jpeg"/>
                    <pic:cNvPicPr/>
                  </pic:nvPicPr>
                  <pic:blipFill>
                    <a:blip r:embed="rId87" cstate="print"/>
                    <a:stretch>
                      <a:fillRect/>
                    </a:stretch>
                  </pic:blipFill>
                  <pic:spPr>
                    <a:xfrm>
                      <a:off x="0" y="0"/>
                      <a:ext cx="4026002" cy="2502027"/>
                    </a:xfrm>
                    <a:prstGeom prst="rect">
                      <a:avLst/>
                    </a:prstGeom>
                  </pic:spPr>
                </pic:pic>
              </a:graphicData>
            </a:graphic>
          </wp:inline>
        </w:drawing>
      </w:r>
      <w:r>
        <w:rPr>
          <w:sz w:val="20"/>
        </w:rPr>
      </w:r>
    </w:p>
    <w:p>
      <w:pPr>
        <w:tabs>
          <w:tab w:pos="791" w:val="left" w:leader="none"/>
        </w:tabs>
        <w:spacing w:before="62"/>
        <w:ind w:left="0" w:right="23" w:firstLine="0"/>
        <w:jc w:val="center"/>
        <w:rPr>
          <w:b/>
          <w:sz w:val="21"/>
        </w:rPr>
      </w:pPr>
      <w:r>
        <w:rPr>
          <w:b/>
          <w:sz w:val="21"/>
        </w:rPr>
        <w:t>图</w:t>
      </w:r>
      <w:r>
        <w:rPr>
          <w:b/>
          <w:spacing w:val="-52"/>
          <w:sz w:val="21"/>
        </w:rPr>
        <w:t> </w:t>
      </w:r>
      <w:r>
        <w:rPr>
          <w:b/>
          <w:sz w:val="21"/>
        </w:rPr>
        <w:t>6-3</w:t>
        <w:tab/>
        <w:t>中巴经济走廊化工涂料技术交流中心标识</w:t>
      </w:r>
    </w:p>
    <w:p>
      <w:pPr>
        <w:pStyle w:val="Heading2"/>
        <w:numPr>
          <w:ilvl w:val="1"/>
          <w:numId w:val="6"/>
        </w:numPr>
        <w:tabs>
          <w:tab w:pos="2471" w:val="left" w:leader="none"/>
          <w:tab w:pos="2472" w:val="left" w:leader="none"/>
        </w:tabs>
        <w:spacing w:line="240" w:lineRule="auto" w:before="178" w:after="0"/>
        <w:ind w:left="2472" w:right="0" w:hanging="574"/>
        <w:jc w:val="left"/>
      </w:pPr>
      <w:bookmarkStart w:name="6.3  与世界500强企业合作" w:id="249"/>
      <w:bookmarkEnd w:id="249"/>
      <w:r>
        <w:rPr>
          <w:b w:val="0"/>
        </w:rPr>
      </w:r>
      <w:bookmarkStart w:name="_bookmark90" w:id="250"/>
      <w:bookmarkEnd w:id="250"/>
      <w:r>
        <w:rPr>
          <w:b w:val="0"/>
        </w:rPr>
      </w:r>
      <w:bookmarkStart w:name="_bookmark90" w:id="251"/>
      <w:bookmarkEnd w:id="251"/>
      <w:r>
        <w:rPr>
          <w:spacing w:val="-16"/>
        </w:rPr>
        <w:t>与世界 </w:t>
      </w:r>
      <w:r>
        <w:rPr>
          <w:rFonts w:ascii="Arial" w:eastAsia="Arial"/>
        </w:rPr>
        <w:t>500</w:t>
      </w:r>
      <w:r>
        <w:rPr>
          <w:rFonts w:ascii="Arial" w:eastAsia="Arial"/>
          <w:spacing w:val="-11"/>
        </w:rPr>
        <w:t> </w:t>
      </w:r>
      <w:r>
        <w:rPr/>
        <w:t>强企业合作</w:t>
      </w:r>
    </w:p>
    <w:p>
      <w:pPr>
        <w:pStyle w:val="BodyText"/>
        <w:spacing w:before="7"/>
        <w:rPr>
          <w:rFonts w:ascii="黑体"/>
          <w:b/>
        </w:rPr>
      </w:pPr>
    </w:p>
    <w:p>
      <w:pPr>
        <w:pStyle w:val="BodyText"/>
        <w:spacing w:line="364" w:lineRule="auto"/>
        <w:ind w:left="1418" w:right="1417" w:firstLine="480"/>
        <w:jc w:val="both"/>
      </w:pPr>
      <w:r>
        <w:rPr>
          <w:spacing w:val="-4"/>
        </w:rPr>
        <w:t>学院依托湖南化工职业教育集团、兴隆化工—湖南化工职院共建国家企业中心、湖南省石化中小企业科技创新服务平台、株洲化工产业技术创新战略联盟及多个产学研合</w:t>
      </w:r>
      <w:r>
        <w:rPr>
          <w:spacing w:val="-7"/>
        </w:rPr>
        <w:t>作基地，建立了应用化工技术协同创新中心、涂料研发与应用技术中心、化妆品生产与</w:t>
      </w:r>
      <w:r>
        <w:rPr>
          <w:spacing w:val="-8"/>
        </w:rPr>
        <w:t>品牌推广中心、天然药物提取工程技术研发中心和自动化应用技术研创工作室等研发机</w:t>
      </w:r>
      <w:r>
        <w:rPr>
          <w:spacing w:val="-14"/>
        </w:rPr>
        <w:t>构，与世界 </w:t>
      </w:r>
      <w:r>
        <w:rPr/>
        <w:t>500</w:t>
      </w:r>
      <w:r>
        <w:rPr>
          <w:spacing w:val="-12"/>
        </w:rPr>
        <w:t> 强企业联合开展高技能人才培养、科研攻关、研制开发新产品，产生了</w:t>
      </w:r>
      <w:r>
        <w:rPr/>
        <w:t>良好的社会效益。</w:t>
      </w:r>
    </w:p>
    <w:p>
      <w:pPr>
        <w:pStyle w:val="BodyText"/>
        <w:spacing w:line="364" w:lineRule="auto"/>
        <w:ind w:left="1418" w:right="1417" w:firstLine="480"/>
        <w:jc w:val="both"/>
      </w:pPr>
      <w:r>
        <w:rPr>
          <w:spacing w:val="-6"/>
        </w:rPr>
        <w:t>学院校友会、招生就业部门积极开拓校友、学院、地方互利互赢和共同发展的良好</w:t>
      </w:r>
      <w:r>
        <w:rPr>
          <w:spacing w:val="-7"/>
        </w:rPr>
        <w:t>局面，以华南涂料行业校友分会、华南化妆品行业校友分会等组织为依托，促成了学院</w:t>
      </w:r>
      <w:r>
        <w:rPr>
          <w:spacing w:val="-18"/>
        </w:rPr>
        <w:t>与校友、社会企业以及与地方之间等方面的合作，在毕业生就业方面，强化了与世界 </w:t>
      </w:r>
      <w:r>
        <w:rPr>
          <w:spacing w:val="-6"/>
        </w:rPr>
        <w:t>500</w:t>
      </w:r>
    </w:p>
    <w:p>
      <w:pPr>
        <w:pStyle w:val="BodyText"/>
        <w:spacing w:line="305" w:lineRule="exact"/>
        <w:ind w:left="1418"/>
      </w:pPr>
      <w:r>
        <w:rPr/>
        <w:t>强企业的人才培养合作，取得了良好成效。在学院举办的 2019 届毕业生校园招聘会上，</w:t>
      </w:r>
    </w:p>
    <w:p>
      <w:pPr>
        <w:pStyle w:val="BodyText"/>
        <w:spacing w:line="362" w:lineRule="auto" w:before="159"/>
        <w:ind w:left="1418" w:right="1417"/>
      </w:pPr>
      <w:r>
        <w:rPr>
          <w:spacing w:val="-15"/>
        </w:rPr>
        <w:t>有世界 </w:t>
      </w:r>
      <w:r>
        <w:rPr/>
        <w:t>500</w:t>
      </w:r>
      <w:r>
        <w:rPr>
          <w:spacing w:val="-24"/>
        </w:rPr>
        <w:t> 强企业 </w:t>
      </w:r>
      <w:r>
        <w:rPr/>
        <w:t>56</w:t>
      </w:r>
      <w:r>
        <w:rPr>
          <w:spacing w:val="-28"/>
        </w:rPr>
        <w:t> 家，中国 </w:t>
      </w:r>
      <w:r>
        <w:rPr/>
        <w:t>100</w:t>
      </w:r>
      <w:r>
        <w:rPr>
          <w:spacing w:val="-24"/>
        </w:rPr>
        <w:t> 强企业 </w:t>
      </w:r>
      <w:r>
        <w:rPr/>
        <w:t>23</w:t>
      </w:r>
      <w:r>
        <w:rPr>
          <w:spacing w:val="-27"/>
        </w:rPr>
        <w:t> 家，中国 </w:t>
      </w:r>
      <w:r>
        <w:rPr/>
        <w:t>500</w:t>
      </w:r>
      <w:r>
        <w:rPr>
          <w:spacing w:val="-24"/>
        </w:rPr>
        <w:t> 强企业 </w:t>
      </w:r>
      <w:r>
        <w:rPr/>
        <w:t>52</w:t>
      </w:r>
      <w:r>
        <w:rPr>
          <w:spacing w:val="-21"/>
        </w:rPr>
        <w:t> 家，上市公司 </w:t>
      </w:r>
      <w:r>
        <w:rPr>
          <w:spacing w:val="-6"/>
        </w:rPr>
        <w:t>140 </w:t>
      </w:r>
      <w:r>
        <w:rPr/>
        <w:t>家前来招聘人才。</w:t>
      </w:r>
    </w:p>
    <w:p>
      <w:pPr>
        <w:spacing w:after="0" w:line="362" w:lineRule="auto"/>
        <w:sectPr>
          <w:pgSz w:w="11910" w:h="16840"/>
          <w:pgMar w:header="780" w:footer="1240" w:top="1260" w:bottom="1440" w:left="0" w:right="0"/>
        </w:sectPr>
      </w:pPr>
    </w:p>
    <w:p>
      <w:pPr>
        <w:pStyle w:val="BodyText"/>
        <w:rPr>
          <w:sz w:val="20"/>
        </w:rPr>
      </w:pPr>
    </w:p>
    <w:p>
      <w:pPr>
        <w:pStyle w:val="BodyText"/>
        <w:rPr>
          <w:sz w:val="20"/>
        </w:rPr>
      </w:pPr>
    </w:p>
    <w:p>
      <w:pPr>
        <w:pStyle w:val="BodyText"/>
        <w:spacing w:before="10"/>
        <w:rPr>
          <w:sz w:val="25"/>
        </w:rPr>
      </w:pPr>
    </w:p>
    <w:p>
      <w:pPr>
        <w:pStyle w:val="Heading2"/>
        <w:numPr>
          <w:ilvl w:val="0"/>
          <w:numId w:val="6"/>
        </w:numPr>
        <w:tabs>
          <w:tab w:pos="2270" w:val="left" w:leader="none"/>
          <w:tab w:pos="2271" w:val="left" w:leader="none"/>
        </w:tabs>
        <w:spacing w:line="240" w:lineRule="auto" w:before="78" w:after="0"/>
        <w:ind w:left="2270" w:right="0" w:hanging="373"/>
        <w:jc w:val="left"/>
        <w:rPr>
          <w:rFonts w:ascii="Arial" w:eastAsia="Arial"/>
        </w:rPr>
      </w:pPr>
      <w:bookmarkStart w:name="7  服务贡献" w:id="252"/>
      <w:bookmarkEnd w:id="252"/>
      <w:r>
        <w:rPr>
          <w:b w:val="0"/>
        </w:rPr>
      </w:r>
      <w:bookmarkStart w:name="_bookmark91" w:id="253"/>
      <w:bookmarkEnd w:id="253"/>
      <w:r>
        <w:rPr>
          <w:b w:val="0"/>
        </w:rPr>
      </w:r>
      <w:bookmarkStart w:name="_bookmark91" w:id="254"/>
      <w:bookmarkEnd w:id="254"/>
      <w:r>
        <w:rPr/>
        <w:t>服务贡献</w:t>
      </w:r>
    </w:p>
    <w:p>
      <w:pPr>
        <w:pStyle w:val="BodyText"/>
        <w:spacing w:before="6"/>
        <w:rPr>
          <w:rFonts w:ascii="黑体"/>
          <w:b/>
        </w:rPr>
      </w:pPr>
    </w:p>
    <w:p>
      <w:pPr>
        <w:pStyle w:val="Heading2"/>
        <w:numPr>
          <w:ilvl w:val="1"/>
          <w:numId w:val="6"/>
        </w:numPr>
        <w:tabs>
          <w:tab w:pos="2471" w:val="left" w:leader="none"/>
          <w:tab w:pos="2472" w:val="left" w:leader="none"/>
        </w:tabs>
        <w:spacing w:line="240" w:lineRule="auto" w:before="0" w:after="0"/>
        <w:ind w:left="2472" w:right="0" w:hanging="574"/>
        <w:jc w:val="left"/>
      </w:pPr>
      <w:bookmarkStart w:name="7.1  服务贡献表" w:id="255"/>
      <w:bookmarkEnd w:id="255"/>
      <w:r>
        <w:rPr>
          <w:b w:val="0"/>
        </w:rPr>
      </w:r>
      <w:bookmarkStart w:name="_bookmark92" w:id="256"/>
      <w:bookmarkEnd w:id="256"/>
      <w:r>
        <w:rPr>
          <w:b w:val="0"/>
        </w:rPr>
      </w:r>
      <w:bookmarkStart w:name="_bookmark92" w:id="257"/>
      <w:bookmarkEnd w:id="257"/>
      <w:r>
        <w:rPr/>
        <w:t>服务贡献表</w:t>
      </w:r>
    </w:p>
    <w:p>
      <w:pPr>
        <w:pStyle w:val="BodyText"/>
        <w:spacing w:before="9"/>
        <w:rPr>
          <w:rFonts w:ascii="黑体"/>
          <w:b/>
          <w:sz w:val="20"/>
        </w:rPr>
      </w:pPr>
    </w:p>
    <w:p>
      <w:pPr>
        <w:tabs>
          <w:tab w:pos="791" w:val="left" w:leader="none"/>
        </w:tabs>
        <w:spacing w:before="70" w:after="24"/>
        <w:ind w:left="0" w:right="33" w:firstLine="0"/>
        <w:jc w:val="center"/>
        <w:rPr>
          <w:b/>
          <w:sz w:val="21"/>
        </w:rPr>
      </w:pPr>
      <w:r>
        <w:rPr>
          <w:b/>
          <w:sz w:val="21"/>
        </w:rPr>
        <w:t>表</w:t>
      </w:r>
      <w:r>
        <w:rPr>
          <w:b/>
          <w:spacing w:val="-53"/>
          <w:sz w:val="21"/>
        </w:rPr>
        <w:t> </w:t>
      </w:r>
      <w:r>
        <w:rPr>
          <w:b/>
          <w:sz w:val="21"/>
        </w:rPr>
        <w:t>7-1</w:t>
        <w:tab/>
      </w:r>
      <w:r>
        <w:rPr>
          <w:b/>
          <w:w w:val="95"/>
          <w:sz w:val="21"/>
        </w:rPr>
        <w:t>服务贡献表</w:t>
      </w:r>
    </w:p>
    <w:tbl>
      <w:tblPr>
        <w:tblW w:w="0" w:type="auto"/>
        <w:jc w:val="left"/>
        <w:tblInd w:w="15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18"/>
        <w:gridCol w:w="723"/>
        <w:gridCol w:w="604"/>
        <w:gridCol w:w="2658"/>
        <w:gridCol w:w="852"/>
        <w:gridCol w:w="993"/>
        <w:gridCol w:w="995"/>
        <w:gridCol w:w="1276"/>
      </w:tblGrid>
      <w:tr>
        <w:trPr>
          <w:trHeight w:val="624" w:hRule="atLeast"/>
        </w:trPr>
        <w:tc>
          <w:tcPr>
            <w:tcW w:w="718" w:type="dxa"/>
            <w:tcBorders>
              <w:bottom w:val="single" w:sz="8" w:space="0" w:color="000000"/>
              <w:right w:val="single" w:sz="8" w:space="0" w:color="000000"/>
            </w:tcBorders>
          </w:tcPr>
          <w:p>
            <w:pPr>
              <w:pStyle w:val="TableParagraph"/>
              <w:spacing w:line="300" w:lineRule="exact"/>
              <w:ind w:left="107"/>
              <w:rPr>
                <w:rFonts w:ascii="Microsoft JhengHei" w:eastAsia="Microsoft JhengHei" w:hint="eastAsia"/>
                <w:b/>
                <w:sz w:val="24"/>
              </w:rPr>
            </w:pPr>
            <w:r>
              <w:rPr>
                <w:rFonts w:ascii="Microsoft JhengHei" w:eastAsia="Microsoft JhengHei" w:hint="eastAsia"/>
                <w:b/>
                <w:sz w:val="24"/>
              </w:rPr>
              <w:t>院校</w:t>
            </w:r>
          </w:p>
          <w:p>
            <w:pPr>
              <w:pStyle w:val="TableParagraph"/>
              <w:spacing w:line="304" w:lineRule="exact"/>
              <w:ind w:left="107"/>
              <w:rPr>
                <w:rFonts w:ascii="Microsoft JhengHei" w:eastAsia="Microsoft JhengHei" w:hint="eastAsia"/>
                <w:b/>
                <w:sz w:val="24"/>
              </w:rPr>
            </w:pPr>
            <w:r>
              <w:rPr>
                <w:rFonts w:ascii="Microsoft JhengHei" w:eastAsia="Microsoft JhengHei" w:hint="eastAsia"/>
                <w:b/>
                <w:sz w:val="24"/>
              </w:rPr>
              <w:t>代码</w:t>
            </w:r>
          </w:p>
        </w:tc>
        <w:tc>
          <w:tcPr>
            <w:tcW w:w="723" w:type="dxa"/>
            <w:tcBorders>
              <w:left w:val="single" w:sz="8" w:space="0" w:color="000000"/>
              <w:bottom w:val="single" w:sz="8" w:space="0" w:color="000000"/>
              <w:right w:val="single" w:sz="8" w:space="0" w:color="000000"/>
            </w:tcBorders>
          </w:tcPr>
          <w:p>
            <w:pPr>
              <w:pStyle w:val="TableParagraph"/>
              <w:spacing w:line="300" w:lineRule="exact"/>
              <w:ind w:left="112"/>
              <w:rPr>
                <w:rFonts w:ascii="Microsoft JhengHei" w:eastAsia="Microsoft JhengHei" w:hint="eastAsia"/>
                <w:b/>
                <w:sz w:val="24"/>
              </w:rPr>
            </w:pPr>
            <w:r>
              <w:rPr>
                <w:rFonts w:ascii="Microsoft JhengHei" w:eastAsia="Microsoft JhengHei" w:hint="eastAsia"/>
                <w:b/>
                <w:sz w:val="24"/>
              </w:rPr>
              <w:t>院校</w:t>
            </w:r>
          </w:p>
          <w:p>
            <w:pPr>
              <w:pStyle w:val="TableParagraph"/>
              <w:spacing w:line="304" w:lineRule="exact"/>
              <w:ind w:left="112"/>
              <w:rPr>
                <w:rFonts w:ascii="Microsoft JhengHei" w:eastAsia="Microsoft JhengHei" w:hint="eastAsia"/>
                <w:b/>
                <w:sz w:val="24"/>
              </w:rPr>
            </w:pPr>
            <w:r>
              <w:rPr>
                <w:rFonts w:ascii="Microsoft JhengHei" w:eastAsia="Microsoft JhengHei" w:hint="eastAsia"/>
                <w:b/>
                <w:sz w:val="24"/>
              </w:rPr>
              <w:t>名称</w:t>
            </w:r>
          </w:p>
        </w:tc>
        <w:tc>
          <w:tcPr>
            <w:tcW w:w="3262" w:type="dxa"/>
            <w:gridSpan w:val="2"/>
            <w:tcBorders>
              <w:left w:val="single" w:sz="8" w:space="0" w:color="000000"/>
              <w:bottom w:val="single" w:sz="8" w:space="0" w:color="000000"/>
              <w:right w:val="single" w:sz="8" w:space="0" w:color="000000"/>
            </w:tcBorders>
          </w:tcPr>
          <w:p>
            <w:pPr>
              <w:pStyle w:val="TableParagraph"/>
              <w:spacing w:before="79"/>
              <w:ind w:left="1375" w:right="1346"/>
              <w:jc w:val="center"/>
              <w:rPr>
                <w:rFonts w:ascii="Microsoft JhengHei" w:eastAsia="Microsoft JhengHei" w:hint="eastAsia"/>
                <w:b/>
                <w:sz w:val="24"/>
              </w:rPr>
            </w:pPr>
            <w:r>
              <w:rPr>
                <w:rFonts w:ascii="Microsoft JhengHei" w:eastAsia="Microsoft JhengHei" w:hint="eastAsia"/>
                <w:b/>
                <w:sz w:val="24"/>
              </w:rPr>
              <w:t>指标</w:t>
            </w:r>
          </w:p>
        </w:tc>
        <w:tc>
          <w:tcPr>
            <w:tcW w:w="852" w:type="dxa"/>
            <w:tcBorders>
              <w:left w:val="single" w:sz="8" w:space="0" w:color="000000"/>
              <w:bottom w:val="single" w:sz="8" w:space="0" w:color="000000"/>
              <w:right w:val="single" w:sz="8" w:space="0" w:color="000000"/>
            </w:tcBorders>
          </w:tcPr>
          <w:p>
            <w:pPr>
              <w:pStyle w:val="TableParagraph"/>
              <w:spacing w:before="79"/>
              <w:ind w:left="169" w:right="141"/>
              <w:jc w:val="center"/>
              <w:rPr>
                <w:rFonts w:ascii="Microsoft JhengHei" w:eastAsia="Microsoft JhengHei" w:hint="eastAsia"/>
                <w:b/>
                <w:sz w:val="24"/>
              </w:rPr>
            </w:pPr>
            <w:r>
              <w:rPr>
                <w:rFonts w:ascii="Microsoft JhengHei" w:eastAsia="Microsoft JhengHei" w:hint="eastAsia"/>
                <w:b/>
                <w:sz w:val="24"/>
              </w:rPr>
              <w:t>单位</w:t>
            </w:r>
          </w:p>
        </w:tc>
        <w:tc>
          <w:tcPr>
            <w:tcW w:w="993" w:type="dxa"/>
            <w:tcBorders>
              <w:left w:val="single" w:sz="8" w:space="0" w:color="000000"/>
              <w:bottom w:val="single" w:sz="8" w:space="0" w:color="000000"/>
              <w:right w:val="single" w:sz="8" w:space="0" w:color="000000"/>
            </w:tcBorders>
          </w:tcPr>
          <w:p>
            <w:pPr>
              <w:pStyle w:val="TableParagraph"/>
              <w:spacing w:before="79"/>
              <w:ind w:right="79"/>
              <w:jc w:val="right"/>
              <w:rPr>
                <w:rFonts w:ascii="Microsoft JhengHei" w:eastAsia="Microsoft JhengHei" w:hint="eastAsia"/>
                <w:b/>
                <w:sz w:val="24"/>
              </w:rPr>
            </w:pPr>
            <w:r>
              <w:rPr>
                <w:rFonts w:ascii="Microsoft JhengHei" w:eastAsia="Microsoft JhengHei" w:hint="eastAsia"/>
                <w:b/>
                <w:w w:val="90"/>
                <w:sz w:val="24"/>
              </w:rPr>
              <w:t>2017 年</w:t>
            </w:r>
          </w:p>
        </w:tc>
        <w:tc>
          <w:tcPr>
            <w:tcW w:w="995" w:type="dxa"/>
            <w:tcBorders>
              <w:left w:val="single" w:sz="8" w:space="0" w:color="000000"/>
              <w:bottom w:val="single" w:sz="8" w:space="0" w:color="000000"/>
              <w:right w:val="single" w:sz="8" w:space="0" w:color="000000"/>
            </w:tcBorders>
          </w:tcPr>
          <w:p>
            <w:pPr>
              <w:pStyle w:val="TableParagraph"/>
              <w:spacing w:before="79"/>
              <w:ind w:left="46" w:right="16"/>
              <w:jc w:val="center"/>
              <w:rPr>
                <w:rFonts w:ascii="Microsoft JhengHei" w:eastAsia="Microsoft JhengHei" w:hint="eastAsia"/>
                <w:b/>
                <w:sz w:val="24"/>
              </w:rPr>
            </w:pPr>
            <w:r>
              <w:rPr>
                <w:rFonts w:ascii="Microsoft JhengHei" w:eastAsia="Microsoft JhengHei" w:hint="eastAsia"/>
                <w:b/>
                <w:sz w:val="24"/>
              </w:rPr>
              <w:t>2018 年</w:t>
            </w:r>
          </w:p>
        </w:tc>
        <w:tc>
          <w:tcPr>
            <w:tcW w:w="1276" w:type="dxa"/>
            <w:tcBorders>
              <w:left w:val="single" w:sz="8" w:space="0" w:color="000000"/>
              <w:bottom w:val="single" w:sz="8" w:space="0" w:color="000000"/>
            </w:tcBorders>
          </w:tcPr>
          <w:p>
            <w:pPr>
              <w:pStyle w:val="TableParagraph"/>
              <w:rPr>
                <w:rFonts w:ascii="Times New Roman"/>
                <w:sz w:val="22"/>
              </w:rPr>
            </w:pPr>
          </w:p>
        </w:tc>
      </w:tr>
      <w:tr>
        <w:trPr>
          <w:trHeight w:val="415" w:hRule="atLeast"/>
        </w:trPr>
        <w:tc>
          <w:tcPr>
            <w:tcW w:w="718" w:type="dxa"/>
            <w:vMerge w:val="restart"/>
            <w:tcBorders>
              <w:top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6"/>
              <w:rPr>
                <w:b/>
                <w:sz w:val="19"/>
              </w:rPr>
            </w:pPr>
          </w:p>
          <w:p>
            <w:pPr>
              <w:pStyle w:val="TableParagraph"/>
              <w:ind w:left="96" w:right="75"/>
              <w:jc w:val="center"/>
              <w:rPr>
                <w:sz w:val="24"/>
              </w:rPr>
            </w:pPr>
            <w:r>
              <w:rPr>
                <w:sz w:val="24"/>
              </w:rPr>
              <w:t>1304</w:t>
            </w:r>
          </w:p>
          <w:p>
            <w:pPr>
              <w:pStyle w:val="TableParagraph"/>
              <w:spacing w:before="5"/>
              <w:ind w:left="21"/>
              <w:jc w:val="center"/>
              <w:rPr>
                <w:sz w:val="24"/>
              </w:rPr>
            </w:pPr>
            <w:r>
              <w:rPr>
                <w:sz w:val="24"/>
              </w:rPr>
              <w:t>3</w:t>
            </w:r>
          </w:p>
        </w:tc>
        <w:tc>
          <w:tcPr>
            <w:tcW w:w="723"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30"/>
              </w:rPr>
            </w:pPr>
          </w:p>
          <w:p>
            <w:pPr>
              <w:pStyle w:val="TableParagraph"/>
              <w:spacing w:line="242" w:lineRule="auto"/>
              <w:ind w:left="124" w:right="96"/>
              <w:jc w:val="both"/>
              <w:rPr>
                <w:sz w:val="24"/>
              </w:rPr>
            </w:pPr>
            <w:r>
              <w:rPr>
                <w:sz w:val="24"/>
              </w:rPr>
              <w:t>湖南化工职业技术学院</w:t>
            </w:r>
          </w:p>
        </w:tc>
        <w:tc>
          <w:tcPr>
            <w:tcW w:w="604"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89"/>
              <w:ind w:left="28"/>
              <w:jc w:val="center"/>
              <w:rPr>
                <w:sz w:val="24"/>
              </w:rPr>
            </w:pPr>
            <w:r>
              <w:rPr>
                <w:sz w:val="24"/>
              </w:rPr>
              <w:t>1</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57"/>
              <w:ind w:left="112"/>
              <w:rPr>
                <w:sz w:val="24"/>
              </w:rPr>
            </w:pPr>
            <w:r>
              <w:rPr>
                <w:sz w:val="24"/>
              </w:rPr>
              <w:t>全日制在校生人数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57"/>
              <w:ind w:left="28"/>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before="110"/>
              <w:ind w:left="259"/>
              <w:rPr>
                <w:sz w:val="24"/>
              </w:rPr>
            </w:pPr>
            <w:r>
              <w:rPr>
                <w:sz w:val="24"/>
              </w:rPr>
              <w:t>9511</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before="110"/>
              <w:ind w:left="42" w:right="16"/>
              <w:jc w:val="center"/>
              <w:rPr>
                <w:sz w:val="24"/>
              </w:rPr>
            </w:pPr>
            <w:r>
              <w:rPr>
                <w:sz w:val="24"/>
              </w:rPr>
              <w:t>10735</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10"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51"/>
              <w:ind w:left="112"/>
              <w:rPr>
                <w:sz w:val="24"/>
              </w:rPr>
            </w:pPr>
            <w:r>
              <w:rPr>
                <w:sz w:val="24"/>
              </w:rPr>
              <w:t>毕业生人数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51"/>
              <w:ind w:left="28"/>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before="106"/>
              <w:ind w:left="259"/>
              <w:rPr>
                <w:sz w:val="24"/>
              </w:rPr>
            </w:pPr>
            <w:r>
              <w:rPr>
                <w:sz w:val="24"/>
              </w:rPr>
              <w:t>2478</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before="106"/>
              <w:ind w:left="42" w:right="16"/>
              <w:jc w:val="center"/>
              <w:rPr>
                <w:sz w:val="24"/>
              </w:rPr>
            </w:pPr>
            <w:r>
              <w:rPr>
                <w:sz w:val="24"/>
              </w:rPr>
              <w:t>3608</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10"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50"/>
              <w:ind w:left="352"/>
              <w:rPr>
                <w:sz w:val="24"/>
              </w:rPr>
            </w:pPr>
            <w:r>
              <w:rPr>
                <w:sz w:val="24"/>
              </w:rPr>
              <w:t>其中：就业人数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50"/>
              <w:ind w:left="28"/>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50"/>
              <w:ind w:left="259"/>
              <w:rPr>
                <w:sz w:val="24"/>
              </w:rPr>
            </w:pPr>
            <w:r>
              <w:rPr>
                <w:sz w:val="24"/>
              </w:rPr>
              <w:t>2425</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50"/>
              <w:ind w:left="42" w:right="16"/>
              <w:jc w:val="center"/>
              <w:rPr>
                <w:sz w:val="24"/>
              </w:rPr>
            </w:pPr>
            <w:r>
              <w:rPr>
                <w:sz w:val="24"/>
              </w:rPr>
              <w:t>3245</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70"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80"/>
              <w:ind w:left="112"/>
              <w:rPr>
                <w:sz w:val="24"/>
              </w:rPr>
            </w:pPr>
            <w:r>
              <w:rPr>
                <w:sz w:val="24"/>
              </w:rPr>
              <w:t>毕业生就业去向：</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80"/>
              <w:ind w:left="28"/>
              <w:jc w:val="center"/>
              <w:rPr>
                <w:sz w:val="24"/>
              </w:rPr>
            </w:pPr>
            <w:r>
              <w:rPr>
                <w:sz w:val="24"/>
              </w:rPr>
              <w:t>—</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80"/>
              <w:ind w:left="27"/>
              <w:jc w:val="center"/>
              <w:rPr>
                <w:sz w:val="24"/>
              </w:rPr>
            </w:pPr>
            <w:r>
              <w:rPr>
                <w:sz w:val="24"/>
              </w:rPr>
              <w:t>—</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80"/>
              <w:ind w:left="26"/>
              <w:jc w:val="center"/>
              <w:rPr>
                <w:sz w:val="24"/>
              </w:rPr>
            </w:pPr>
            <w:r>
              <w:rPr>
                <w:sz w:val="24"/>
              </w:rPr>
              <w:t>—</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52"/>
              <w:rPr>
                <w:sz w:val="24"/>
              </w:rPr>
            </w:pPr>
            <w:r>
              <w:rPr>
                <w:sz w:val="24"/>
              </w:rPr>
              <w:t>A 类:留在当地就业人</w:t>
            </w:r>
          </w:p>
          <w:p>
            <w:pPr>
              <w:pStyle w:val="TableParagraph"/>
              <w:spacing w:line="284" w:lineRule="exact" w:before="4"/>
              <w:ind w:left="112"/>
              <w:rPr>
                <w:sz w:val="24"/>
              </w:rPr>
            </w:pPr>
            <w:r>
              <w:rPr>
                <w:sz w:val="24"/>
              </w:rPr>
              <w:t>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4"/>
              <w:ind w:left="28"/>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4"/>
              <w:ind w:left="259"/>
              <w:rPr>
                <w:sz w:val="24"/>
              </w:rPr>
            </w:pPr>
            <w:r>
              <w:rPr>
                <w:sz w:val="24"/>
              </w:rPr>
              <w:t>1142</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4"/>
              <w:ind w:left="42" w:right="16"/>
              <w:jc w:val="center"/>
              <w:rPr>
                <w:sz w:val="24"/>
              </w:rPr>
            </w:pPr>
            <w:r>
              <w:rPr>
                <w:sz w:val="24"/>
              </w:rPr>
              <w:t>2007</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352"/>
              <w:rPr>
                <w:sz w:val="24"/>
              </w:rPr>
            </w:pPr>
            <w:r>
              <w:rPr>
                <w:sz w:val="24"/>
              </w:rPr>
              <w:t>B 类:到西部地区和东</w:t>
            </w:r>
          </w:p>
          <w:p>
            <w:pPr>
              <w:pStyle w:val="TableParagraph"/>
              <w:spacing w:line="284" w:lineRule="exact" w:before="4"/>
              <w:ind w:left="112"/>
              <w:rPr>
                <w:sz w:val="24"/>
              </w:rPr>
            </w:pPr>
            <w:r>
              <w:rPr>
                <w:sz w:val="24"/>
              </w:rPr>
              <w:t>北地区就业人数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3"/>
              <w:ind w:left="28"/>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3"/>
              <w:ind w:left="319"/>
              <w:rPr>
                <w:sz w:val="24"/>
              </w:rPr>
            </w:pPr>
            <w:r>
              <w:rPr>
                <w:sz w:val="24"/>
              </w:rPr>
              <w:t>761</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3"/>
              <w:ind w:left="42" w:right="16"/>
              <w:jc w:val="center"/>
              <w:rPr>
                <w:sz w:val="24"/>
              </w:rPr>
            </w:pPr>
            <w:r>
              <w:rPr>
                <w:sz w:val="24"/>
              </w:rPr>
              <w:t>836</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52"/>
              <w:rPr>
                <w:sz w:val="24"/>
              </w:rPr>
            </w:pPr>
            <w:r>
              <w:rPr>
                <w:sz w:val="24"/>
              </w:rPr>
              <w:t>C 类:到中小微企业等</w:t>
            </w:r>
          </w:p>
          <w:p>
            <w:pPr>
              <w:pStyle w:val="TableParagraph"/>
              <w:spacing w:line="285" w:lineRule="exact" w:before="4"/>
              <w:ind w:left="112"/>
              <w:rPr>
                <w:sz w:val="24"/>
              </w:rPr>
            </w:pPr>
            <w:r>
              <w:rPr>
                <w:sz w:val="24"/>
              </w:rPr>
              <w:t>基层服务人数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2"/>
              <w:ind w:left="28"/>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2"/>
              <w:ind w:left="259"/>
              <w:rPr>
                <w:sz w:val="24"/>
              </w:rPr>
            </w:pPr>
            <w:r>
              <w:rPr>
                <w:sz w:val="24"/>
              </w:rPr>
              <w:t>1214</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2"/>
              <w:ind w:left="42" w:right="16"/>
              <w:jc w:val="center"/>
              <w:rPr>
                <w:sz w:val="24"/>
              </w:rPr>
            </w:pPr>
            <w:r>
              <w:rPr>
                <w:sz w:val="24"/>
              </w:rPr>
              <w:t>1129</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52"/>
              <w:rPr>
                <w:sz w:val="24"/>
              </w:rPr>
            </w:pPr>
            <w:r>
              <w:rPr>
                <w:sz w:val="24"/>
              </w:rPr>
              <w:t>D</w:t>
            </w:r>
            <w:r>
              <w:rPr>
                <w:spacing w:val="-28"/>
                <w:sz w:val="24"/>
              </w:rPr>
              <w:t> 类:到 </w:t>
            </w:r>
            <w:r>
              <w:rPr>
                <w:sz w:val="24"/>
              </w:rPr>
              <w:t>500</w:t>
            </w:r>
            <w:r>
              <w:rPr>
                <w:spacing w:val="-15"/>
                <w:sz w:val="24"/>
              </w:rPr>
              <w:t> 强企业就</w:t>
            </w:r>
          </w:p>
          <w:p>
            <w:pPr>
              <w:pStyle w:val="TableParagraph"/>
              <w:spacing w:line="284" w:lineRule="exact" w:before="4"/>
              <w:ind w:left="112"/>
              <w:rPr>
                <w:sz w:val="24"/>
              </w:rPr>
            </w:pPr>
            <w:r>
              <w:rPr>
                <w:sz w:val="24"/>
              </w:rPr>
              <w:t>业人数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4"/>
              <w:ind w:left="28"/>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4"/>
              <w:ind w:left="259"/>
              <w:rPr>
                <w:sz w:val="24"/>
              </w:rPr>
            </w:pPr>
            <w:r>
              <w:rPr>
                <w:sz w:val="24"/>
              </w:rPr>
              <w:t>1079</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4"/>
              <w:ind w:left="42" w:right="16"/>
              <w:jc w:val="center"/>
              <w:rPr>
                <w:sz w:val="24"/>
              </w:rPr>
            </w:pPr>
            <w:r>
              <w:rPr>
                <w:sz w:val="24"/>
              </w:rPr>
              <w:t>1794</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10"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rPr>
                <w:b/>
                <w:sz w:val="24"/>
              </w:rPr>
            </w:pPr>
          </w:p>
          <w:p>
            <w:pPr>
              <w:pStyle w:val="TableParagraph"/>
              <w:spacing w:before="11"/>
              <w:rPr>
                <w:b/>
                <w:sz w:val="29"/>
              </w:rPr>
            </w:pPr>
          </w:p>
          <w:p>
            <w:pPr>
              <w:pStyle w:val="TableParagraph"/>
              <w:spacing w:before="1"/>
              <w:ind w:left="28"/>
              <w:jc w:val="center"/>
              <w:rPr>
                <w:sz w:val="24"/>
              </w:rPr>
            </w:pPr>
            <w:r>
              <w:rPr>
                <w:sz w:val="24"/>
              </w:rPr>
              <w:t>2</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50"/>
              <w:ind w:left="112"/>
              <w:rPr>
                <w:sz w:val="24"/>
              </w:rPr>
            </w:pPr>
            <w:r>
              <w:rPr>
                <w:sz w:val="24"/>
              </w:rPr>
              <w:t>横向技术服务到款额</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50"/>
              <w:ind w:left="169"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50"/>
              <w:ind w:left="319"/>
              <w:rPr>
                <w:sz w:val="24"/>
              </w:rPr>
            </w:pPr>
            <w:r>
              <w:rPr>
                <w:sz w:val="24"/>
              </w:rPr>
              <w:t>157</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50"/>
              <w:ind w:left="42" w:right="16"/>
              <w:jc w:val="center"/>
              <w:rPr>
                <w:sz w:val="24"/>
              </w:rPr>
            </w:pPr>
            <w:r>
              <w:rPr>
                <w:sz w:val="24"/>
              </w:rPr>
              <w:t>1273.5</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1862"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spacing w:before="5"/>
              <w:rPr>
                <w:b/>
                <w:sz w:val="24"/>
              </w:rPr>
            </w:pPr>
          </w:p>
          <w:p>
            <w:pPr>
              <w:pStyle w:val="TableParagraph"/>
              <w:spacing w:line="242" w:lineRule="auto"/>
              <w:ind w:left="112" w:right="123"/>
              <w:rPr>
                <w:sz w:val="24"/>
              </w:rPr>
            </w:pPr>
            <w:r>
              <w:rPr>
                <w:sz w:val="24"/>
              </w:rPr>
              <w:t>横向技术服务产生的经济效益</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rPr>
                <w:b/>
                <w:sz w:val="24"/>
              </w:rPr>
            </w:pPr>
          </w:p>
          <w:p>
            <w:pPr>
              <w:pStyle w:val="TableParagraph"/>
              <w:spacing w:before="162"/>
              <w:ind w:left="169"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rPr>
                <w:b/>
                <w:sz w:val="24"/>
              </w:rPr>
            </w:pPr>
          </w:p>
          <w:p>
            <w:pPr>
              <w:pStyle w:val="TableParagraph"/>
              <w:spacing w:before="162"/>
              <w:ind w:left="259"/>
              <w:rPr>
                <w:sz w:val="24"/>
              </w:rPr>
            </w:pPr>
            <w:r>
              <w:rPr>
                <w:sz w:val="24"/>
              </w:rPr>
              <w:t>6130</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b/>
                <w:sz w:val="24"/>
              </w:rPr>
            </w:pPr>
          </w:p>
          <w:p>
            <w:pPr>
              <w:pStyle w:val="TableParagraph"/>
              <w:rPr>
                <w:b/>
                <w:sz w:val="24"/>
              </w:rPr>
            </w:pPr>
          </w:p>
          <w:p>
            <w:pPr>
              <w:pStyle w:val="TableParagraph"/>
              <w:spacing w:before="162"/>
              <w:ind w:left="42" w:right="16"/>
              <w:jc w:val="center"/>
              <w:rPr>
                <w:sz w:val="24"/>
              </w:rPr>
            </w:pPr>
            <w:r>
              <w:rPr>
                <w:sz w:val="24"/>
              </w:rPr>
              <w:t>9370</w:t>
            </w:r>
          </w:p>
        </w:tc>
        <w:tc>
          <w:tcPr>
            <w:tcW w:w="1276" w:type="dxa"/>
            <w:tcBorders>
              <w:top w:val="single" w:sz="8" w:space="0" w:color="000000"/>
              <w:left w:val="single" w:sz="8" w:space="0" w:color="000000"/>
              <w:bottom w:val="single" w:sz="8" w:space="0" w:color="000000"/>
            </w:tcBorders>
          </w:tcPr>
          <w:p>
            <w:pPr>
              <w:pStyle w:val="TableParagraph"/>
              <w:spacing w:line="242" w:lineRule="auto"/>
              <w:ind w:left="112" w:right="75"/>
              <w:jc w:val="both"/>
              <w:rPr>
                <w:sz w:val="24"/>
              </w:rPr>
            </w:pPr>
            <w:r>
              <w:rPr>
                <w:spacing w:val="20"/>
                <w:sz w:val="24"/>
              </w:rPr>
              <w:t>提供产生经济效益的企业出</w:t>
            </w:r>
            <w:r>
              <w:rPr>
                <w:spacing w:val="-8"/>
                <w:sz w:val="24"/>
              </w:rPr>
              <w:t>具 的 证明， 并盖</w:t>
            </w:r>
          </w:p>
          <w:p>
            <w:pPr>
              <w:pStyle w:val="TableParagraph"/>
              <w:spacing w:line="285" w:lineRule="exact" w:before="4"/>
              <w:ind w:left="112"/>
              <w:rPr>
                <w:sz w:val="24"/>
              </w:rPr>
            </w:pPr>
            <w:r>
              <w:rPr>
                <w:sz w:val="24"/>
              </w:rPr>
              <w:t>财务章。</w:t>
            </w:r>
          </w:p>
        </w:tc>
      </w:tr>
      <w:tr>
        <w:trPr>
          <w:trHeight w:val="410"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tcBorders>
              <w:top w:val="single" w:sz="8" w:space="0" w:color="000000"/>
              <w:left w:val="single" w:sz="8" w:space="0" w:color="000000"/>
              <w:bottom w:val="single" w:sz="8" w:space="0" w:color="000000"/>
              <w:right w:val="single" w:sz="8" w:space="0" w:color="000000"/>
            </w:tcBorders>
          </w:tcPr>
          <w:p>
            <w:pPr>
              <w:pStyle w:val="TableParagraph"/>
              <w:spacing w:before="51"/>
              <w:ind w:left="28"/>
              <w:jc w:val="center"/>
              <w:rPr>
                <w:sz w:val="24"/>
              </w:rPr>
            </w:pPr>
            <w:r>
              <w:rPr>
                <w:sz w:val="24"/>
              </w:rPr>
              <w:t>3</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51"/>
              <w:ind w:left="112"/>
              <w:rPr>
                <w:sz w:val="24"/>
              </w:rPr>
            </w:pPr>
            <w:r>
              <w:rPr>
                <w:sz w:val="24"/>
              </w:rPr>
              <w:t>纵向科研经费到款额</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51"/>
              <w:ind w:left="169"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51"/>
              <w:ind w:left="259"/>
              <w:rPr>
                <w:sz w:val="24"/>
              </w:rPr>
            </w:pPr>
            <w:r>
              <w:rPr>
                <w:sz w:val="24"/>
              </w:rPr>
              <w:t>75.5</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51"/>
              <w:ind w:left="42" w:right="16"/>
              <w:jc w:val="center"/>
              <w:rPr>
                <w:sz w:val="24"/>
              </w:rPr>
            </w:pPr>
            <w:r>
              <w:rPr>
                <w:sz w:val="24"/>
              </w:rPr>
              <w:t>527.5</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10"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tcBorders>
              <w:top w:val="single" w:sz="8" w:space="0" w:color="000000"/>
              <w:left w:val="single" w:sz="8" w:space="0" w:color="000000"/>
              <w:bottom w:val="single" w:sz="8" w:space="0" w:color="000000"/>
              <w:right w:val="single" w:sz="8" w:space="0" w:color="000000"/>
            </w:tcBorders>
          </w:tcPr>
          <w:p>
            <w:pPr>
              <w:pStyle w:val="TableParagraph"/>
              <w:spacing w:before="50"/>
              <w:ind w:left="28"/>
              <w:jc w:val="center"/>
              <w:rPr>
                <w:sz w:val="24"/>
              </w:rPr>
            </w:pPr>
            <w:r>
              <w:rPr>
                <w:sz w:val="24"/>
              </w:rPr>
              <w:t>4</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50"/>
              <w:ind w:left="112"/>
              <w:rPr>
                <w:sz w:val="24"/>
              </w:rPr>
            </w:pPr>
            <w:r>
              <w:rPr>
                <w:sz w:val="24"/>
              </w:rPr>
              <w:t>技术交易到款额</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50"/>
              <w:ind w:left="169"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50"/>
              <w:ind w:left="319"/>
              <w:rPr>
                <w:sz w:val="24"/>
              </w:rPr>
            </w:pPr>
            <w:r>
              <w:rPr>
                <w:sz w:val="24"/>
              </w:rPr>
              <w:t>100</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50"/>
              <w:ind w:left="42" w:right="16"/>
              <w:jc w:val="center"/>
              <w:rPr>
                <w:sz w:val="24"/>
              </w:rPr>
            </w:pPr>
            <w:r>
              <w:rPr>
                <w:sz w:val="24"/>
              </w:rPr>
              <w:t>734</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10"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tcBorders>
              <w:top w:val="single" w:sz="8" w:space="0" w:color="000000"/>
              <w:left w:val="single" w:sz="8" w:space="0" w:color="000000"/>
              <w:bottom w:val="single" w:sz="8" w:space="0" w:color="000000"/>
              <w:right w:val="single" w:sz="8" w:space="0" w:color="000000"/>
            </w:tcBorders>
          </w:tcPr>
          <w:p>
            <w:pPr>
              <w:pStyle w:val="TableParagraph"/>
              <w:spacing w:before="52"/>
              <w:ind w:left="28"/>
              <w:jc w:val="center"/>
              <w:rPr>
                <w:sz w:val="24"/>
              </w:rPr>
            </w:pPr>
            <w:r>
              <w:rPr>
                <w:sz w:val="24"/>
              </w:rPr>
              <w:t>5</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52"/>
              <w:ind w:left="112"/>
              <w:rPr>
                <w:sz w:val="24"/>
              </w:rPr>
            </w:pPr>
            <w:r>
              <w:rPr>
                <w:sz w:val="24"/>
              </w:rPr>
              <w:t>非学历培训到款额</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52"/>
              <w:ind w:left="169"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52"/>
              <w:ind w:right="112"/>
              <w:jc w:val="right"/>
              <w:rPr>
                <w:sz w:val="24"/>
              </w:rPr>
            </w:pPr>
            <w:r>
              <w:rPr>
                <w:sz w:val="24"/>
              </w:rPr>
              <w:t>873.27</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52"/>
              <w:ind w:left="42" w:right="16"/>
              <w:jc w:val="center"/>
              <w:rPr>
                <w:sz w:val="24"/>
              </w:rPr>
            </w:pPr>
            <w:r>
              <w:rPr>
                <w:sz w:val="24"/>
              </w:rPr>
              <w:t>1058.2</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10"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04" w:type="dxa"/>
            <w:tcBorders>
              <w:top w:val="single" w:sz="8" w:space="0" w:color="000000"/>
              <w:left w:val="single" w:sz="8" w:space="0" w:color="000000"/>
              <w:bottom w:val="single" w:sz="8" w:space="0" w:color="000000"/>
              <w:right w:val="single" w:sz="8" w:space="0" w:color="000000"/>
            </w:tcBorders>
          </w:tcPr>
          <w:p>
            <w:pPr>
              <w:pStyle w:val="TableParagraph"/>
              <w:spacing w:before="51"/>
              <w:ind w:left="28"/>
              <w:jc w:val="center"/>
              <w:rPr>
                <w:sz w:val="24"/>
              </w:rPr>
            </w:pPr>
            <w:r>
              <w:rPr>
                <w:sz w:val="24"/>
              </w:rPr>
              <w:t>6</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51"/>
              <w:ind w:left="112"/>
              <w:rPr>
                <w:sz w:val="24"/>
              </w:rPr>
            </w:pPr>
            <w:r>
              <w:rPr>
                <w:sz w:val="24"/>
              </w:rPr>
              <w:t>公益性培训服务</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51"/>
              <w:ind w:left="169" w:right="141"/>
              <w:jc w:val="center"/>
              <w:rPr>
                <w:sz w:val="24"/>
              </w:rPr>
            </w:pPr>
            <w:r>
              <w:rPr>
                <w:sz w:val="24"/>
              </w:rPr>
              <w:t>人日</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51"/>
              <w:ind w:right="172"/>
              <w:jc w:val="right"/>
              <w:rPr>
                <w:sz w:val="24"/>
              </w:rPr>
            </w:pPr>
            <w:r>
              <w:rPr>
                <w:sz w:val="24"/>
              </w:rPr>
              <w:t>10373</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51"/>
              <w:ind w:left="42" w:right="16"/>
              <w:jc w:val="center"/>
              <w:rPr>
                <w:sz w:val="24"/>
              </w:rPr>
            </w:pPr>
            <w:r>
              <w:rPr>
                <w:sz w:val="24"/>
              </w:rPr>
              <w:t>145617</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8" w:hRule="atLeast"/>
        </w:trPr>
        <w:tc>
          <w:tcPr>
            <w:tcW w:w="718" w:type="dxa"/>
            <w:vMerge/>
            <w:tcBorders>
              <w:top w:val="nil"/>
              <w:right w:val="single" w:sz="8" w:space="0" w:color="000000"/>
            </w:tcBorders>
          </w:tcPr>
          <w:p>
            <w:pPr>
              <w:rPr>
                <w:sz w:val="2"/>
                <w:szCs w:val="2"/>
              </w:rPr>
            </w:pPr>
          </w:p>
        </w:tc>
        <w:tc>
          <w:tcPr>
            <w:tcW w:w="723" w:type="dxa"/>
            <w:vMerge/>
            <w:tcBorders>
              <w:top w:val="nil"/>
              <w:left w:val="single" w:sz="8" w:space="0" w:color="000000"/>
              <w:right w:val="single" w:sz="8" w:space="0" w:color="000000"/>
            </w:tcBorders>
          </w:tcPr>
          <w:p>
            <w:pPr>
              <w:rPr>
                <w:sz w:val="2"/>
                <w:szCs w:val="2"/>
              </w:rPr>
            </w:pPr>
          </w:p>
        </w:tc>
        <w:tc>
          <w:tcPr>
            <w:tcW w:w="6102" w:type="dxa"/>
            <w:gridSpan w:val="5"/>
            <w:tcBorders>
              <w:top w:val="single" w:sz="8" w:space="0" w:color="000000"/>
              <w:left w:val="single" w:sz="8" w:space="0" w:color="000000"/>
              <w:right w:val="single" w:sz="8" w:space="0" w:color="000000"/>
            </w:tcBorders>
          </w:tcPr>
          <w:p>
            <w:pPr>
              <w:pStyle w:val="TableParagraph"/>
              <w:tabs>
                <w:tab w:pos="4203" w:val="left" w:leader="none"/>
              </w:tabs>
              <w:spacing w:line="305" w:lineRule="exact"/>
              <w:ind w:left="111"/>
              <w:rPr>
                <w:sz w:val="24"/>
              </w:rPr>
            </w:pPr>
            <w:r>
              <w:rPr>
                <w:sz w:val="24"/>
              </w:rPr>
              <w:t>主要办学经费来源(单选)：省级(</w:t>
            </w:r>
            <w:r>
              <w:rPr>
                <w:rFonts w:ascii="Arial" w:hAnsi="Arial" w:eastAsia="Arial"/>
                <w:sz w:val="24"/>
              </w:rPr>
              <w:t>√</w:t>
            </w:r>
            <w:r>
              <w:rPr>
                <w:sz w:val="24"/>
              </w:rPr>
              <w:t>)</w:t>
              <w:tab/>
              <w:t>地市级()</w:t>
            </w:r>
          </w:p>
          <w:p>
            <w:pPr>
              <w:pStyle w:val="TableParagraph"/>
              <w:tabs>
                <w:tab w:pos="4551" w:val="left" w:leader="none"/>
              </w:tabs>
              <w:spacing w:line="289" w:lineRule="exact" w:before="4"/>
              <w:ind w:left="2511"/>
              <w:rPr>
                <w:sz w:val="24"/>
              </w:rPr>
            </w:pPr>
            <w:r>
              <w:rPr>
                <w:sz w:val="24"/>
              </w:rPr>
              <w:t>行业或企业()</w:t>
              <w:tab/>
              <w:t>其他()</w:t>
            </w:r>
          </w:p>
        </w:tc>
        <w:tc>
          <w:tcPr>
            <w:tcW w:w="1276" w:type="dxa"/>
            <w:tcBorders>
              <w:top w:val="single" w:sz="8" w:space="0" w:color="000000"/>
              <w:left w:val="single" w:sz="8" w:space="0" w:color="000000"/>
            </w:tcBorders>
          </w:tcPr>
          <w:p>
            <w:pPr>
              <w:pStyle w:val="TableParagraph"/>
              <w:rPr>
                <w:rFonts w:ascii="Times New Roman"/>
                <w:sz w:val="22"/>
              </w:rPr>
            </w:pPr>
          </w:p>
        </w:tc>
      </w:tr>
    </w:tbl>
    <w:p>
      <w:pPr>
        <w:pStyle w:val="Heading2"/>
        <w:numPr>
          <w:ilvl w:val="1"/>
          <w:numId w:val="6"/>
        </w:numPr>
        <w:tabs>
          <w:tab w:pos="2471" w:val="left" w:leader="none"/>
          <w:tab w:pos="2472" w:val="left" w:leader="none"/>
        </w:tabs>
        <w:spacing w:line="240" w:lineRule="auto" w:before="158" w:after="0"/>
        <w:ind w:left="2472" w:right="0" w:hanging="574"/>
        <w:jc w:val="left"/>
      </w:pPr>
      <w:bookmarkStart w:name="7.2  服务脱贫攻坚战略" w:id="258"/>
      <w:bookmarkEnd w:id="258"/>
      <w:r>
        <w:rPr>
          <w:b w:val="0"/>
        </w:rPr>
      </w:r>
      <w:bookmarkStart w:name="_bookmark93" w:id="259"/>
      <w:bookmarkEnd w:id="259"/>
      <w:r>
        <w:rPr>
          <w:b w:val="0"/>
        </w:rPr>
      </w:r>
      <w:bookmarkStart w:name="_bookmark93" w:id="260"/>
      <w:bookmarkEnd w:id="260"/>
      <w:r>
        <w:rPr>
          <w:w w:val="95"/>
        </w:rPr>
        <w:t>服务脱贫攻坚战略</w:t>
      </w:r>
    </w:p>
    <w:p>
      <w:pPr>
        <w:pStyle w:val="BodyText"/>
        <w:spacing w:before="9"/>
        <w:rPr>
          <w:rFonts w:ascii="黑体"/>
          <w:b/>
        </w:rPr>
      </w:pPr>
    </w:p>
    <w:p>
      <w:pPr>
        <w:pStyle w:val="BodyText"/>
        <w:spacing w:line="362" w:lineRule="auto"/>
        <w:ind w:left="1418" w:right="1417" w:firstLine="420"/>
      </w:pPr>
      <w:r>
        <w:rPr>
          <w:spacing w:val="-30"/>
        </w:rPr>
        <w:t>自 </w:t>
      </w:r>
      <w:r>
        <w:rPr/>
        <w:t>2014</w:t>
      </w:r>
      <w:r>
        <w:rPr>
          <w:spacing w:val="-15"/>
        </w:rPr>
        <w:t> 年实施精准扶贫以来，学院高度重视扶贫工作，学院党委刘望书记、王雄伟</w:t>
      </w:r>
      <w:r>
        <w:rPr>
          <w:spacing w:val="-3"/>
        </w:rPr>
        <w:t>校长和班子成员及相关部门负责人先后多次到扶贫联系点现场调研，与贫困户一起共商</w:t>
      </w:r>
    </w:p>
    <w:p>
      <w:pPr>
        <w:spacing w:after="0" w:line="362" w:lineRule="auto"/>
        <w:sectPr>
          <w:pgSz w:w="11910" w:h="16840"/>
          <w:pgMar w:header="780" w:footer="1240" w:top="1260" w:bottom="1440" w:left="0" w:right="0"/>
        </w:sectPr>
      </w:pPr>
    </w:p>
    <w:p>
      <w:pPr>
        <w:pStyle w:val="BodyText"/>
        <w:spacing w:line="362" w:lineRule="auto" w:before="141"/>
        <w:ind w:left="1418" w:right="1417"/>
      </w:pPr>
      <w:r>
        <w:rPr>
          <w:spacing w:val="-7"/>
        </w:rPr>
        <w:t>脱贫攻坚大计。三年来，为贫困户新建了水泥路、安全护栏、修缮了住房等，在学院和</w:t>
      </w:r>
      <w:r>
        <w:rPr/>
        <w:t>教育厅驻村组的共同努力下现已彻底摆脱了贫困，进一步改善了生活状况。</w:t>
      </w:r>
    </w:p>
    <w:p>
      <w:pPr>
        <w:pStyle w:val="BodyText"/>
        <w:spacing w:line="364" w:lineRule="auto" w:before="5"/>
        <w:ind w:left="1418" w:right="1417" w:firstLine="420"/>
        <w:jc w:val="both"/>
      </w:pPr>
      <w:r>
        <w:rPr>
          <w:spacing w:val="-2"/>
        </w:rPr>
        <w:t>新一轮驻村帮扶工作是贯彻十九大精神的重要举措，学院驻村工作队队员积极响应</w:t>
      </w:r>
      <w:r>
        <w:rPr>
          <w:spacing w:val="-7"/>
        </w:rPr>
        <w:t>党的号召，快速进入角色，快速融入基层群众，积极发挥作用，高标准、严要求配合支</w:t>
      </w:r>
      <w:r>
        <w:rPr>
          <w:spacing w:val="-5"/>
        </w:rPr>
        <w:t>村两委全面打赢脱贫攻坚战。学院扶贫工作人员认真研究村级产业发展规划，帮助贫困</w:t>
      </w:r>
      <w:r>
        <w:rPr/>
        <w:t>户早日脱贫致富。</w:t>
      </w:r>
    </w:p>
    <w:p>
      <w:pPr>
        <w:pStyle w:val="Heading2"/>
        <w:spacing w:before="76"/>
        <w:ind w:left="1898" w:firstLine="0"/>
      </w:pPr>
      <w:bookmarkStart w:name="【典型案例21】学院开展结对帮扶“大走访、抓落实、促提升”活动" w:id="261"/>
      <w:bookmarkEnd w:id="261"/>
      <w:r>
        <w:rPr>
          <w:b w:val="0"/>
        </w:rPr>
      </w:r>
      <w:bookmarkStart w:name="_bookmark94" w:id="262"/>
      <w:bookmarkEnd w:id="262"/>
      <w:r>
        <w:rPr>
          <w:b w:val="0"/>
        </w:rPr>
      </w:r>
      <w:r>
        <w:rPr/>
        <w:t>【典型案例 21】学院开展结对帮扶“大走访、抓落实、促提升”活动</w:t>
      </w:r>
    </w:p>
    <w:p>
      <w:pPr>
        <w:pStyle w:val="BodyText"/>
        <w:spacing w:before="7"/>
        <w:rPr>
          <w:rFonts w:ascii="黑体"/>
          <w:b/>
          <w:sz w:val="18"/>
        </w:rPr>
      </w:pPr>
    </w:p>
    <w:p>
      <w:pPr>
        <w:pStyle w:val="BodyText"/>
        <w:spacing w:line="364" w:lineRule="auto"/>
        <w:ind w:left="1418" w:right="1297" w:firstLine="480"/>
      </w:pPr>
      <w:r>
        <w:rPr>
          <w:color w:val="3366FF"/>
        </w:rPr>
        <w:t>4</w:t>
      </w:r>
      <w:r>
        <w:rPr>
          <w:color w:val="3366FF"/>
          <w:spacing w:val="-40"/>
        </w:rPr>
        <w:t> 月 </w:t>
      </w:r>
      <w:r>
        <w:rPr>
          <w:color w:val="3366FF"/>
        </w:rPr>
        <w:t>26</w:t>
      </w:r>
      <w:r>
        <w:rPr>
          <w:color w:val="3366FF"/>
          <w:spacing w:val="-18"/>
        </w:rPr>
        <w:t> 日，学院纪委书记肖耀南一行赴炎陵县红光村开展结对帮扶“五个一”活动。</w:t>
      </w:r>
      <w:r>
        <w:rPr>
          <w:color w:val="3366FF"/>
          <w:spacing w:val="-3"/>
        </w:rPr>
        <w:t>先后冒雨视察了村黄桃种植产业基地、光伏发电产业基地等。入户走访了结对建档立卡</w:t>
      </w:r>
      <w:r>
        <w:rPr>
          <w:color w:val="3366FF"/>
          <w:spacing w:val="-8"/>
        </w:rPr>
        <w:t>贫困户。在听取了村支书的简要汇报后，提出了以经济效益为导向，以产业为主体，以</w:t>
      </w:r>
      <w:r>
        <w:rPr>
          <w:color w:val="3366FF"/>
          <w:spacing w:val="-10"/>
        </w:rPr>
        <w:t>本地的自然条件、生态环境为优势优，来发展产业，从生态的、环保的、高效的、有特色的产品着手，形成一条增加产品附加值的产业链，并实现持续发展的产业扶贫之策。</w:t>
      </w:r>
    </w:p>
    <w:p>
      <w:pPr>
        <w:pStyle w:val="BodyText"/>
        <w:ind w:left="2928"/>
        <w:rPr>
          <w:sz w:val="20"/>
        </w:rPr>
      </w:pPr>
      <w:r>
        <w:rPr>
          <w:sz w:val="20"/>
        </w:rPr>
        <w:drawing>
          <wp:inline distT="0" distB="0" distL="0" distR="0">
            <wp:extent cx="3855928" cy="2268283"/>
            <wp:effectExtent l="0" t="0" r="0" b="0"/>
            <wp:docPr id="159" name="image71.jpeg"/>
            <wp:cNvGraphicFramePr>
              <a:graphicFrameLocks noChangeAspect="1"/>
            </wp:cNvGraphicFramePr>
            <a:graphic>
              <a:graphicData uri="http://schemas.openxmlformats.org/drawingml/2006/picture">
                <pic:pic>
                  <pic:nvPicPr>
                    <pic:cNvPr id="160" name="image71.jpeg"/>
                    <pic:cNvPicPr/>
                  </pic:nvPicPr>
                  <pic:blipFill>
                    <a:blip r:embed="rId88" cstate="print"/>
                    <a:stretch>
                      <a:fillRect/>
                    </a:stretch>
                  </pic:blipFill>
                  <pic:spPr>
                    <a:xfrm>
                      <a:off x="0" y="0"/>
                      <a:ext cx="3855928" cy="2268283"/>
                    </a:xfrm>
                    <a:prstGeom prst="rect">
                      <a:avLst/>
                    </a:prstGeom>
                  </pic:spPr>
                </pic:pic>
              </a:graphicData>
            </a:graphic>
          </wp:inline>
        </w:drawing>
      </w:r>
      <w:r>
        <w:rPr>
          <w:sz w:val="20"/>
        </w:rPr>
      </w:r>
    </w:p>
    <w:p>
      <w:pPr>
        <w:tabs>
          <w:tab w:pos="806" w:val="left" w:leader="none"/>
        </w:tabs>
        <w:spacing w:before="139"/>
        <w:ind w:left="14" w:right="0" w:firstLine="0"/>
        <w:jc w:val="center"/>
        <w:rPr>
          <w:b/>
          <w:sz w:val="21"/>
        </w:rPr>
      </w:pPr>
      <w:r>
        <w:rPr>
          <w:b/>
          <w:sz w:val="21"/>
        </w:rPr>
        <w:t>图</w:t>
      </w:r>
      <w:r>
        <w:rPr>
          <w:b/>
          <w:spacing w:val="-53"/>
          <w:sz w:val="21"/>
        </w:rPr>
        <w:t> </w:t>
      </w:r>
      <w:r>
        <w:rPr>
          <w:b/>
          <w:sz w:val="21"/>
        </w:rPr>
        <w:t>7-1</w:t>
        <w:tab/>
        <w:t>肖耀南书记在扶贫工作点现场办公</w:t>
      </w:r>
    </w:p>
    <w:p>
      <w:pPr>
        <w:pStyle w:val="BodyText"/>
        <w:spacing w:before="2"/>
        <w:rPr>
          <w:b/>
          <w:sz w:val="23"/>
        </w:rPr>
      </w:pPr>
    </w:p>
    <w:p>
      <w:pPr>
        <w:pStyle w:val="Heading2"/>
        <w:numPr>
          <w:ilvl w:val="1"/>
          <w:numId w:val="6"/>
        </w:numPr>
        <w:tabs>
          <w:tab w:pos="2471" w:val="left" w:leader="none"/>
          <w:tab w:pos="2472" w:val="left" w:leader="none"/>
        </w:tabs>
        <w:spacing w:line="240" w:lineRule="auto" w:before="0" w:after="0"/>
        <w:ind w:left="2472" w:right="0" w:hanging="574"/>
        <w:jc w:val="left"/>
      </w:pPr>
      <w:bookmarkStart w:name="7.3  服务“一带一部”和产业升级" w:id="263"/>
      <w:bookmarkEnd w:id="263"/>
      <w:r>
        <w:rPr>
          <w:b w:val="0"/>
        </w:rPr>
      </w:r>
      <w:bookmarkStart w:name="_bookmark95" w:id="264"/>
      <w:bookmarkEnd w:id="264"/>
      <w:r>
        <w:rPr>
          <w:b w:val="0"/>
        </w:rPr>
      </w:r>
      <w:bookmarkStart w:name="_bookmark95" w:id="265"/>
      <w:bookmarkEnd w:id="265"/>
      <w:r>
        <w:rPr/>
        <w:t>服务</w:t>
      </w:r>
      <w:r>
        <w:rPr>
          <w:rFonts w:ascii="Arial" w:hAnsi="Arial" w:eastAsia="Arial"/>
        </w:rPr>
        <w:t>“</w:t>
      </w:r>
      <w:r>
        <w:rPr/>
        <w:t>一带一部</w:t>
      </w:r>
      <w:r>
        <w:rPr>
          <w:rFonts w:ascii="Arial" w:hAnsi="Arial" w:eastAsia="Arial"/>
        </w:rPr>
        <w:t>”</w:t>
      </w:r>
      <w:r>
        <w:rPr/>
        <w:t>和产业升级</w:t>
      </w:r>
    </w:p>
    <w:p>
      <w:pPr>
        <w:pStyle w:val="BodyText"/>
        <w:spacing w:before="6"/>
        <w:rPr>
          <w:rFonts w:ascii="黑体"/>
          <w:b/>
        </w:rPr>
      </w:pPr>
    </w:p>
    <w:p>
      <w:pPr>
        <w:pStyle w:val="BodyText"/>
        <w:spacing w:line="364" w:lineRule="auto"/>
        <w:ind w:left="1418" w:right="1297" w:firstLine="480"/>
      </w:pPr>
      <w:r>
        <w:rPr>
          <w:spacing w:val="-3"/>
        </w:rPr>
        <w:t>学院对接湖南省重点产业布局专业群建设。对接 </w:t>
      </w:r>
      <w:r>
        <w:rPr/>
        <w:t>12</w:t>
      </w:r>
      <w:r>
        <w:rPr>
          <w:spacing w:val="-7"/>
        </w:rPr>
        <w:t> 大重点产业中新材料、新一代</w:t>
      </w:r>
      <w:r>
        <w:rPr>
          <w:spacing w:val="-17"/>
        </w:rPr>
        <w:t>信息技术产业、生物医药及高性能医疗器械、节能环保、高档数控机床和机器人等产业， </w:t>
      </w:r>
      <w:r>
        <w:rPr>
          <w:spacing w:val="-8"/>
        </w:rPr>
        <w:t>动态调整专业，合理组建专业群。</w:t>
      </w:r>
      <w:r>
        <w:rPr/>
        <w:t>2018</w:t>
      </w:r>
      <w:r>
        <w:rPr>
          <w:spacing w:val="-11"/>
        </w:rPr>
        <w:t> 年，学院加大对服务我省重点产业的对口专业宣</w:t>
      </w:r>
      <w:r>
        <w:rPr>
          <w:spacing w:val="-14"/>
        </w:rPr>
        <w:t>传力度，服务以上产业在校生人数净增长 </w:t>
      </w:r>
      <w:r>
        <w:rPr/>
        <w:t>754</w:t>
      </w:r>
      <w:r>
        <w:rPr>
          <w:spacing w:val="-16"/>
        </w:rPr>
        <w:t> 人，增长率达 </w:t>
      </w:r>
      <w:r>
        <w:rPr/>
        <w:t>17.21%。</w:t>
      </w:r>
    </w:p>
    <w:p>
      <w:pPr>
        <w:pStyle w:val="Heading2"/>
        <w:numPr>
          <w:ilvl w:val="1"/>
          <w:numId w:val="6"/>
        </w:numPr>
        <w:tabs>
          <w:tab w:pos="2471" w:val="left" w:leader="none"/>
          <w:tab w:pos="2472" w:val="left" w:leader="none"/>
        </w:tabs>
        <w:spacing w:line="240" w:lineRule="auto" w:before="156" w:after="0"/>
        <w:ind w:left="2472" w:right="0" w:hanging="574"/>
        <w:jc w:val="left"/>
      </w:pPr>
      <w:bookmarkStart w:name="7.4  服务湖南制造" w:id="266"/>
      <w:bookmarkEnd w:id="266"/>
      <w:r>
        <w:rPr>
          <w:b w:val="0"/>
        </w:rPr>
      </w:r>
      <w:bookmarkStart w:name="_bookmark96" w:id="267"/>
      <w:bookmarkEnd w:id="267"/>
      <w:r>
        <w:rPr>
          <w:b w:val="0"/>
        </w:rPr>
      </w:r>
      <w:bookmarkStart w:name="_bookmark96" w:id="268"/>
      <w:bookmarkEnd w:id="268"/>
      <w:r>
        <w:rPr/>
        <w:t>服务湖南制造</w:t>
      </w:r>
    </w:p>
    <w:p>
      <w:pPr>
        <w:pStyle w:val="BodyText"/>
        <w:spacing w:before="9"/>
        <w:rPr>
          <w:rFonts w:ascii="黑体"/>
          <w:b/>
          <w:sz w:val="30"/>
        </w:rPr>
      </w:pPr>
    </w:p>
    <w:p>
      <w:pPr>
        <w:pStyle w:val="BodyText"/>
        <w:ind w:left="1898"/>
      </w:pPr>
      <w:r>
        <w:rPr/>
        <w:t>据《麦可思——湖南化工职业技术学院应届毕业生培养质量评价报告(2018)》调查</w:t>
      </w:r>
    </w:p>
    <w:p>
      <w:pPr>
        <w:spacing w:after="0"/>
        <w:sectPr>
          <w:pgSz w:w="11910" w:h="16840"/>
          <w:pgMar w:header="780" w:footer="1240" w:top="1260" w:bottom="1440" w:left="0" w:right="0"/>
        </w:sectPr>
      </w:pPr>
    </w:p>
    <w:p>
      <w:pPr>
        <w:pStyle w:val="BodyText"/>
        <w:rPr>
          <w:sz w:val="12"/>
        </w:rPr>
      </w:pPr>
    </w:p>
    <w:p>
      <w:pPr>
        <w:pStyle w:val="BodyText"/>
        <w:spacing w:line="364" w:lineRule="auto" w:before="66"/>
        <w:ind w:left="1418" w:right="1449"/>
        <w:jc w:val="both"/>
      </w:pPr>
      <w:r>
        <w:rPr/>
        <w:drawing>
          <wp:anchor distT="0" distB="0" distL="0" distR="0" allowOverlap="1" layoutInCell="1" locked="0" behindDoc="1" simplePos="0" relativeHeight="244370432">
            <wp:simplePos x="0" y="0"/>
            <wp:positionH relativeFrom="page">
              <wp:posOffset>1604772</wp:posOffset>
            </wp:positionH>
            <wp:positionV relativeFrom="paragraph">
              <wp:posOffset>1185798</wp:posOffset>
            </wp:positionV>
            <wp:extent cx="4580764" cy="2753484"/>
            <wp:effectExtent l="0" t="0" r="0" b="0"/>
            <wp:wrapNone/>
            <wp:docPr id="161" name="image72.png"/>
            <wp:cNvGraphicFramePr>
              <a:graphicFrameLocks noChangeAspect="1"/>
            </wp:cNvGraphicFramePr>
            <a:graphic>
              <a:graphicData uri="http://schemas.openxmlformats.org/drawingml/2006/picture">
                <pic:pic>
                  <pic:nvPicPr>
                    <pic:cNvPr id="162" name="image72.png"/>
                    <pic:cNvPicPr/>
                  </pic:nvPicPr>
                  <pic:blipFill>
                    <a:blip r:embed="rId89" cstate="print"/>
                    <a:stretch>
                      <a:fillRect/>
                    </a:stretch>
                  </pic:blipFill>
                  <pic:spPr>
                    <a:xfrm>
                      <a:off x="0" y="0"/>
                      <a:ext cx="4580764" cy="2753484"/>
                    </a:xfrm>
                    <a:prstGeom prst="rect">
                      <a:avLst/>
                    </a:prstGeom>
                  </pic:spPr>
                </pic:pic>
              </a:graphicData>
            </a:graphic>
          </wp:anchor>
        </w:drawing>
      </w:r>
      <w:r>
        <w:rPr>
          <w:spacing w:val="-6"/>
        </w:rPr>
        <w:t>数据显示：学院 </w:t>
      </w:r>
      <w:r>
        <w:rPr/>
        <w:t>2018</w:t>
      </w:r>
      <w:r>
        <w:rPr>
          <w:spacing w:val="-12"/>
        </w:rPr>
        <w:t> 届毕业生中有 </w:t>
      </w:r>
      <w:r>
        <w:rPr/>
        <w:t>46.1%的人在湖南省就业，就业城市主要集中在长</w:t>
      </w:r>
      <w:r>
        <w:rPr>
          <w:spacing w:val="-9"/>
        </w:rPr>
        <w:t>沙、株洲(见表 </w:t>
      </w:r>
      <w:r>
        <w:rPr/>
        <w:t>7-2)</w:t>
      </w:r>
      <w:r>
        <w:rPr>
          <w:spacing w:val="-6"/>
        </w:rPr>
        <w:t>。从就业领域来看，毕业生在“化学品、化工、塑胶业”就业的比</w:t>
      </w:r>
      <w:r>
        <w:rPr>
          <w:spacing w:val="-2"/>
        </w:rPr>
        <w:t>例较高(见表 </w:t>
      </w:r>
      <w:r>
        <w:rPr/>
        <w:t>7-3)，主要从事“生物/化工”相关职业，本校毕业生的就业情况较好地体现了本校的办学特色，为本地化工领域的发展贡献了大量专业技术技能型人才。</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tabs>
          <w:tab w:pos="789" w:val="left" w:leader="none"/>
        </w:tabs>
        <w:spacing w:before="0"/>
        <w:ind w:left="0" w:right="23" w:firstLine="0"/>
        <w:jc w:val="center"/>
        <w:rPr>
          <w:b/>
          <w:sz w:val="21"/>
        </w:rPr>
      </w:pPr>
      <w:r>
        <w:rPr>
          <w:b/>
          <w:sz w:val="21"/>
        </w:rPr>
        <w:t>图</w:t>
      </w:r>
      <w:r>
        <w:rPr>
          <w:b/>
          <w:spacing w:val="-55"/>
          <w:sz w:val="21"/>
        </w:rPr>
        <w:t> </w:t>
      </w:r>
      <w:r>
        <w:rPr>
          <w:b/>
          <w:sz w:val="21"/>
        </w:rPr>
        <w:t>7-2</w:t>
        <w:tab/>
        <w:t>学院服务湖南重点产业学生规模情况</w:t>
      </w:r>
    </w:p>
    <w:p>
      <w:pPr>
        <w:tabs>
          <w:tab w:pos="4754" w:val="left" w:leader="none"/>
        </w:tabs>
        <w:spacing w:line="696" w:lineRule="auto" w:before="43"/>
        <w:ind w:left="3964" w:right="1437" w:firstLine="1864"/>
        <w:jc w:val="left"/>
        <w:rPr>
          <w:b/>
          <w:sz w:val="21"/>
        </w:rPr>
      </w:pPr>
      <w:r>
        <w:rPr/>
        <w:pict>
          <v:shape style="position:absolute;margin-left:96.169998pt;margin-top:56.559998pt;width:403.45pt;height:134.7pt;mso-position-horizontal-relative:page;mso-position-vertical-relative:paragraph;z-index:251691008"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68"/>
                    <w:gridCol w:w="2260"/>
                    <w:gridCol w:w="2121"/>
                    <w:gridCol w:w="2091"/>
                  </w:tblGrid>
                  <w:tr>
                    <w:trPr>
                      <w:trHeight w:val="425" w:hRule="atLeast"/>
                    </w:trPr>
                    <w:tc>
                      <w:tcPr>
                        <w:tcW w:w="1568" w:type="dxa"/>
                        <w:tcBorders>
                          <w:top w:val="nil"/>
                        </w:tcBorders>
                        <w:shd w:val="clear" w:color="auto" w:fill="8DB3E1"/>
                      </w:tcPr>
                      <w:p>
                        <w:pPr>
                          <w:pStyle w:val="TableParagraph"/>
                          <w:spacing w:before="109"/>
                          <w:ind w:left="382"/>
                          <w:rPr>
                            <w:b/>
                            <w:sz w:val="20"/>
                          </w:rPr>
                        </w:pPr>
                        <w:r>
                          <w:rPr>
                            <w:b/>
                            <w:sz w:val="20"/>
                          </w:rPr>
                          <w:t>城市名称</w:t>
                        </w:r>
                      </w:p>
                    </w:tc>
                    <w:tc>
                      <w:tcPr>
                        <w:tcW w:w="2260" w:type="dxa"/>
                        <w:tcBorders>
                          <w:top w:val="nil"/>
                        </w:tcBorders>
                        <w:shd w:val="clear" w:color="auto" w:fill="8DB3E1"/>
                      </w:tcPr>
                      <w:p>
                        <w:pPr>
                          <w:pStyle w:val="TableParagraph"/>
                          <w:spacing w:before="109"/>
                          <w:ind w:left="649" w:right="629"/>
                          <w:jc w:val="center"/>
                          <w:rPr>
                            <w:rFonts w:ascii="Calibri" w:eastAsia="Calibri"/>
                            <w:b/>
                            <w:sz w:val="20"/>
                          </w:rPr>
                        </w:pPr>
                        <w:r>
                          <w:rPr>
                            <w:rFonts w:ascii="Calibri" w:eastAsia="Calibri"/>
                            <w:b/>
                            <w:sz w:val="20"/>
                          </w:rPr>
                          <w:t>2016 </w:t>
                        </w:r>
                        <w:r>
                          <w:rPr>
                            <w:b/>
                            <w:sz w:val="20"/>
                          </w:rPr>
                          <w:t>届</w:t>
                        </w:r>
                        <w:r>
                          <w:rPr>
                            <w:rFonts w:ascii="Calibri" w:eastAsia="Calibri"/>
                            <w:b/>
                            <w:sz w:val="20"/>
                          </w:rPr>
                          <w:t>(%)</w:t>
                        </w:r>
                      </w:p>
                    </w:tc>
                    <w:tc>
                      <w:tcPr>
                        <w:tcW w:w="2121" w:type="dxa"/>
                        <w:tcBorders>
                          <w:top w:val="nil"/>
                        </w:tcBorders>
                        <w:shd w:val="clear" w:color="auto" w:fill="8DB3E1"/>
                      </w:tcPr>
                      <w:p>
                        <w:pPr>
                          <w:pStyle w:val="TableParagraph"/>
                          <w:spacing w:before="109"/>
                          <w:ind w:left="580" w:right="558"/>
                          <w:jc w:val="center"/>
                          <w:rPr>
                            <w:rFonts w:ascii="Calibri" w:eastAsia="Calibri"/>
                            <w:b/>
                            <w:sz w:val="20"/>
                          </w:rPr>
                        </w:pPr>
                        <w:r>
                          <w:rPr>
                            <w:rFonts w:ascii="Calibri" w:eastAsia="Calibri"/>
                            <w:b/>
                            <w:sz w:val="20"/>
                          </w:rPr>
                          <w:t>2017 </w:t>
                        </w:r>
                        <w:r>
                          <w:rPr>
                            <w:b/>
                            <w:sz w:val="20"/>
                          </w:rPr>
                          <w:t>届</w:t>
                        </w:r>
                        <w:r>
                          <w:rPr>
                            <w:rFonts w:ascii="Calibri" w:eastAsia="Calibri"/>
                            <w:b/>
                            <w:sz w:val="20"/>
                          </w:rPr>
                          <w:t>(%)</w:t>
                        </w:r>
                      </w:p>
                    </w:tc>
                    <w:tc>
                      <w:tcPr>
                        <w:tcW w:w="2091" w:type="dxa"/>
                        <w:tcBorders>
                          <w:top w:val="nil"/>
                        </w:tcBorders>
                        <w:shd w:val="clear" w:color="auto" w:fill="8DB3E1"/>
                      </w:tcPr>
                      <w:p>
                        <w:pPr>
                          <w:pStyle w:val="TableParagraph"/>
                          <w:spacing w:before="109"/>
                          <w:ind w:left="565" w:right="543"/>
                          <w:jc w:val="center"/>
                          <w:rPr>
                            <w:rFonts w:ascii="Calibri" w:eastAsia="Calibri"/>
                            <w:b/>
                            <w:sz w:val="20"/>
                          </w:rPr>
                        </w:pPr>
                        <w:r>
                          <w:rPr>
                            <w:rFonts w:ascii="Calibri" w:eastAsia="Calibri"/>
                            <w:b/>
                            <w:sz w:val="20"/>
                          </w:rPr>
                          <w:t>2018 </w:t>
                        </w:r>
                        <w:r>
                          <w:rPr>
                            <w:b/>
                            <w:sz w:val="20"/>
                          </w:rPr>
                          <w:t>届</w:t>
                        </w:r>
                        <w:r>
                          <w:rPr>
                            <w:rFonts w:ascii="Calibri" w:eastAsia="Calibri"/>
                            <w:b/>
                            <w:sz w:val="20"/>
                          </w:rPr>
                          <w:t>(%)</w:t>
                        </w:r>
                      </w:p>
                    </w:tc>
                  </w:tr>
                  <w:tr>
                    <w:trPr>
                      <w:trHeight w:val="424" w:hRule="atLeast"/>
                    </w:trPr>
                    <w:tc>
                      <w:tcPr>
                        <w:tcW w:w="1568" w:type="dxa"/>
                        <w:shd w:val="clear" w:color="auto" w:fill="F6F8FB"/>
                      </w:tcPr>
                      <w:p>
                        <w:pPr>
                          <w:pStyle w:val="TableParagraph"/>
                          <w:spacing w:before="108"/>
                          <w:ind w:left="106"/>
                          <w:rPr>
                            <w:sz w:val="20"/>
                          </w:rPr>
                        </w:pPr>
                        <w:r>
                          <w:rPr>
                            <w:sz w:val="20"/>
                          </w:rPr>
                          <w:t>长沙</w:t>
                        </w:r>
                      </w:p>
                    </w:tc>
                    <w:tc>
                      <w:tcPr>
                        <w:tcW w:w="2260" w:type="dxa"/>
                        <w:shd w:val="clear" w:color="auto" w:fill="F6F8FB"/>
                      </w:tcPr>
                      <w:p>
                        <w:pPr>
                          <w:pStyle w:val="TableParagraph"/>
                          <w:spacing w:before="117"/>
                          <w:ind w:left="647" w:right="629"/>
                          <w:jc w:val="center"/>
                          <w:rPr>
                            <w:rFonts w:ascii="Calibri"/>
                            <w:sz w:val="20"/>
                          </w:rPr>
                        </w:pPr>
                        <w:r>
                          <w:rPr>
                            <w:rFonts w:ascii="Calibri"/>
                            <w:sz w:val="20"/>
                          </w:rPr>
                          <w:t>23.9</w:t>
                        </w:r>
                      </w:p>
                    </w:tc>
                    <w:tc>
                      <w:tcPr>
                        <w:tcW w:w="2121" w:type="dxa"/>
                        <w:shd w:val="clear" w:color="auto" w:fill="F6F8FB"/>
                      </w:tcPr>
                      <w:p>
                        <w:pPr>
                          <w:pStyle w:val="TableParagraph"/>
                          <w:spacing w:before="117"/>
                          <w:ind w:left="578" w:right="558"/>
                          <w:jc w:val="center"/>
                          <w:rPr>
                            <w:rFonts w:ascii="Calibri"/>
                            <w:sz w:val="20"/>
                          </w:rPr>
                        </w:pPr>
                        <w:r>
                          <w:rPr>
                            <w:rFonts w:ascii="Calibri"/>
                            <w:sz w:val="20"/>
                          </w:rPr>
                          <w:t>23.9</w:t>
                        </w:r>
                      </w:p>
                    </w:tc>
                    <w:tc>
                      <w:tcPr>
                        <w:tcW w:w="2091" w:type="dxa"/>
                        <w:shd w:val="clear" w:color="auto" w:fill="F6F8FB"/>
                      </w:tcPr>
                      <w:p>
                        <w:pPr>
                          <w:pStyle w:val="TableParagraph"/>
                          <w:spacing w:before="117"/>
                          <w:ind w:left="560" w:right="543"/>
                          <w:jc w:val="center"/>
                          <w:rPr>
                            <w:rFonts w:ascii="Calibri"/>
                            <w:sz w:val="20"/>
                          </w:rPr>
                        </w:pPr>
                        <w:r>
                          <w:rPr>
                            <w:rFonts w:ascii="Calibri"/>
                            <w:sz w:val="20"/>
                          </w:rPr>
                          <w:t>29.1</w:t>
                        </w:r>
                      </w:p>
                    </w:tc>
                  </w:tr>
                  <w:tr>
                    <w:trPr>
                      <w:trHeight w:val="423" w:hRule="atLeast"/>
                    </w:trPr>
                    <w:tc>
                      <w:tcPr>
                        <w:tcW w:w="1568" w:type="dxa"/>
                        <w:shd w:val="clear" w:color="auto" w:fill="C5D4E9"/>
                      </w:tcPr>
                      <w:p>
                        <w:pPr>
                          <w:pStyle w:val="TableParagraph"/>
                          <w:spacing w:before="108"/>
                          <w:ind w:left="106"/>
                          <w:rPr>
                            <w:sz w:val="20"/>
                          </w:rPr>
                        </w:pPr>
                        <w:r>
                          <w:rPr>
                            <w:sz w:val="20"/>
                          </w:rPr>
                          <w:t>株洲</w:t>
                        </w:r>
                      </w:p>
                    </w:tc>
                    <w:tc>
                      <w:tcPr>
                        <w:tcW w:w="2260" w:type="dxa"/>
                        <w:shd w:val="clear" w:color="auto" w:fill="C5D4E9"/>
                      </w:tcPr>
                      <w:p>
                        <w:pPr>
                          <w:pStyle w:val="TableParagraph"/>
                          <w:spacing w:before="117"/>
                          <w:ind w:left="647" w:right="629"/>
                          <w:jc w:val="center"/>
                          <w:rPr>
                            <w:rFonts w:ascii="Calibri"/>
                            <w:sz w:val="20"/>
                          </w:rPr>
                        </w:pPr>
                        <w:r>
                          <w:rPr>
                            <w:rFonts w:ascii="Calibri"/>
                            <w:sz w:val="20"/>
                          </w:rPr>
                          <w:t>9.4</w:t>
                        </w:r>
                      </w:p>
                    </w:tc>
                    <w:tc>
                      <w:tcPr>
                        <w:tcW w:w="2121" w:type="dxa"/>
                        <w:shd w:val="clear" w:color="auto" w:fill="C5D4E9"/>
                      </w:tcPr>
                      <w:p>
                        <w:pPr>
                          <w:pStyle w:val="TableParagraph"/>
                          <w:spacing w:before="117"/>
                          <w:ind w:left="578" w:right="558"/>
                          <w:jc w:val="center"/>
                          <w:rPr>
                            <w:rFonts w:ascii="Calibri"/>
                            <w:sz w:val="20"/>
                          </w:rPr>
                        </w:pPr>
                        <w:r>
                          <w:rPr>
                            <w:rFonts w:ascii="Calibri"/>
                            <w:sz w:val="20"/>
                          </w:rPr>
                          <w:t>10.1</w:t>
                        </w:r>
                      </w:p>
                    </w:tc>
                    <w:tc>
                      <w:tcPr>
                        <w:tcW w:w="2091" w:type="dxa"/>
                        <w:shd w:val="clear" w:color="auto" w:fill="C5D4E9"/>
                      </w:tcPr>
                      <w:p>
                        <w:pPr>
                          <w:pStyle w:val="TableParagraph"/>
                          <w:spacing w:before="117"/>
                          <w:ind w:left="560" w:right="543"/>
                          <w:jc w:val="center"/>
                          <w:rPr>
                            <w:rFonts w:ascii="Calibri"/>
                            <w:sz w:val="20"/>
                          </w:rPr>
                        </w:pPr>
                        <w:r>
                          <w:rPr>
                            <w:rFonts w:ascii="Calibri"/>
                            <w:sz w:val="20"/>
                          </w:rPr>
                          <w:t>11.3</w:t>
                        </w:r>
                      </w:p>
                    </w:tc>
                  </w:tr>
                  <w:tr>
                    <w:trPr>
                      <w:trHeight w:val="424" w:hRule="atLeast"/>
                    </w:trPr>
                    <w:tc>
                      <w:tcPr>
                        <w:tcW w:w="1568" w:type="dxa"/>
                        <w:shd w:val="clear" w:color="auto" w:fill="F6F8FB"/>
                      </w:tcPr>
                      <w:p>
                        <w:pPr>
                          <w:pStyle w:val="TableParagraph"/>
                          <w:spacing w:before="108"/>
                          <w:ind w:left="106"/>
                          <w:rPr>
                            <w:sz w:val="20"/>
                          </w:rPr>
                        </w:pPr>
                        <w:r>
                          <w:rPr>
                            <w:sz w:val="20"/>
                          </w:rPr>
                          <w:t>深圳</w:t>
                        </w:r>
                      </w:p>
                    </w:tc>
                    <w:tc>
                      <w:tcPr>
                        <w:tcW w:w="2260" w:type="dxa"/>
                        <w:shd w:val="clear" w:color="auto" w:fill="F6F8FB"/>
                      </w:tcPr>
                      <w:p>
                        <w:pPr>
                          <w:pStyle w:val="TableParagraph"/>
                          <w:spacing w:before="117"/>
                          <w:ind w:left="647" w:right="629"/>
                          <w:jc w:val="center"/>
                          <w:rPr>
                            <w:rFonts w:ascii="Calibri"/>
                            <w:sz w:val="20"/>
                          </w:rPr>
                        </w:pPr>
                        <w:r>
                          <w:rPr>
                            <w:rFonts w:ascii="Calibri"/>
                            <w:sz w:val="20"/>
                          </w:rPr>
                          <w:t>8.8</w:t>
                        </w:r>
                      </w:p>
                    </w:tc>
                    <w:tc>
                      <w:tcPr>
                        <w:tcW w:w="2121" w:type="dxa"/>
                        <w:shd w:val="clear" w:color="auto" w:fill="F6F8FB"/>
                      </w:tcPr>
                      <w:p>
                        <w:pPr>
                          <w:pStyle w:val="TableParagraph"/>
                          <w:spacing w:before="117"/>
                          <w:ind w:left="578" w:right="558"/>
                          <w:jc w:val="center"/>
                          <w:rPr>
                            <w:rFonts w:ascii="Calibri"/>
                            <w:sz w:val="20"/>
                          </w:rPr>
                        </w:pPr>
                        <w:r>
                          <w:rPr>
                            <w:rFonts w:ascii="Calibri"/>
                            <w:sz w:val="20"/>
                          </w:rPr>
                          <w:t>8.0</w:t>
                        </w:r>
                      </w:p>
                    </w:tc>
                    <w:tc>
                      <w:tcPr>
                        <w:tcW w:w="2091" w:type="dxa"/>
                        <w:shd w:val="clear" w:color="auto" w:fill="F6F8FB"/>
                      </w:tcPr>
                      <w:p>
                        <w:pPr>
                          <w:pStyle w:val="TableParagraph"/>
                          <w:spacing w:before="117"/>
                          <w:ind w:left="560" w:right="543"/>
                          <w:jc w:val="center"/>
                          <w:rPr>
                            <w:rFonts w:ascii="Calibri"/>
                            <w:sz w:val="20"/>
                          </w:rPr>
                        </w:pPr>
                        <w:r>
                          <w:rPr>
                            <w:rFonts w:ascii="Calibri"/>
                            <w:sz w:val="20"/>
                          </w:rPr>
                          <w:t>7.2</w:t>
                        </w:r>
                      </w:p>
                    </w:tc>
                  </w:tr>
                  <w:tr>
                    <w:trPr>
                      <w:trHeight w:val="424" w:hRule="atLeast"/>
                    </w:trPr>
                    <w:tc>
                      <w:tcPr>
                        <w:tcW w:w="1568" w:type="dxa"/>
                        <w:shd w:val="clear" w:color="auto" w:fill="C5D4E9"/>
                      </w:tcPr>
                      <w:p>
                        <w:pPr>
                          <w:pStyle w:val="TableParagraph"/>
                          <w:spacing w:before="108"/>
                          <w:ind w:left="106"/>
                          <w:rPr>
                            <w:sz w:val="20"/>
                          </w:rPr>
                        </w:pPr>
                        <w:r>
                          <w:rPr>
                            <w:sz w:val="20"/>
                          </w:rPr>
                          <w:t>广州</w:t>
                        </w:r>
                      </w:p>
                    </w:tc>
                    <w:tc>
                      <w:tcPr>
                        <w:tcW w:w="2260" w:type="dxa"/>
                        <w:shd w:val="clear" w:color="auto" w:fill="C5D4E9"/>
                      </w:tcPr>
                      <w:p>
                        <w:pPr>
                          <w:pStyle w:val="TableParagraph"/>
                          <w:spacing w:before="117"/>
                          <w:ind w:left="647" w:right="629"/>
                          <w:jc w:val="center"/>
                          <w:rPr>
                            <w:rFonts w:ascii="Calibri"/>
                            <w:sz w:val="20"/>
                          </w:rPr>
                        </w:pPr>
                        <w:r>
                          <w:rPr>
                            <w:rFonts w:ascii="Calibri"/>
                            <w:sz w:val="20"/>
                          </w:rPr>
                          <w:t>4.6</w:t>
                        </w:r>
                      </w:p>
                    </w:tc>
                    <w:tc>
                      <w:tcPr>
                        <w:tcW w:w="2121" w:type="dxa"/>
                        <w:shd w:val="clear" w:color="auto" w:fill="C5D4E9"/>
                      </w:tcPr>
                      <w:p>
                        <w:pPr>
                          <w:pStyle w:val="TableParagraph"/>
                          <w:spacing w:before="117"/>
                          <w:ind w:left="578" w:right="558"/>
                          <w:jc w:val="center"/>
                          <w:rPr>
                            <w:rFonts w:ascii="Calibri"/>
                            <w:sz w:val="20"/>
                          </w:rPr>
                        </w:pPr>
                        <w:r>
                          <w:rPr>
                            <w:rFonts w:ascii="Calibri"/>
                            <w:sz w:val="20"/>
                          </w:rPr>
                          <w:t>5.1</w:t>
                        </w:r>
                      </w:p>
                    </w:tc>
                    <w:tc>
                      <w:tcPr>
                        <w:tcW w:w="2091" w:type="dxa"/>
                        <w:shd w:val="clear" w:color="auto" w:fill="C5D4E9"/>
                      </w:tcPr>
                      <w:p>
                        <w:pPr>
                          <w:pStyle w:val="TableParagraph"/>
                          <w:spacing w:before="117"/>
                          <w:ind w:left="560" w:right="543"/>
                          <w:jc w:val="center"/>
                          <w:rPr>
                            <w:rFonts w:ascii="Calibri"/>
                            <w:sz w:val="20"/>
                          </w:rPr>
                        </w:pPr>
                        <w:r>
                          <w:rPr>
                            <w:rFonts w:ascii="Calibri"/>
                            <w:sz w:val="20"/>
                          </w:rPr>
                          <w:t>6.9</w:t>
                        </w:r>
                      </w:p>
                    </w:tc>
                  </w:tr>
                  <w:tr>
                    <w:trPr>
                      <w:trHeight w:val="472" w:hRule="atLeast"/>
                    </w:trPr>
                    <w:tc>
                      <w:tcPr>
                        <w:tcW w:w="1568" w:type="dxa"/>
                        <w:tcBorders>
                          <w:bottom w:val="nil"/>
                        </w:tcBorders>
                        <w:shd w:val="clear" w:color="auto" w:fill="F6F8FB"/>
                      </w:tcPr>
                      <w:p>
                        <w:pPr>
                          <w:pStyle w:val="TableParagraph"/>
                          <w:spacing w:before="132"/>
                          <w:ind w:left="106"/>
                          <w:rPr>
                            <w:sz w:val="20"/>
                          </w:rPr>
                        </w:pPr>
                        <w:r>
                          <w:rPr>
                            <w:sz w:val="20"/>
                          </w:rPr>
                          <w:t>东莞</w:t>
                        </w:r>
                      </w:p>
                    </w:tc>
                    <w:tc>
                      <w:tcPr>
                        <w:tcW w:w="2260" w:type="dxa"/>
                        <w:tcBorders>
                          <w:bottom w:val="nil"/>
                        </w:tcBorders>
                        <w:shd w:val="clear" w:color="auto" w:fill="F6F8FB"/>
                      </w:tcPr>
                      <w:p>
                        <w:pPr>
                          <w:pStyle w:val="TableParagraph"/>
                          <w:spacing w:before="139"/>
                          <w:ind w:left="647" w:right="629"/>
                          <w:jc w:val="center"/>
                          <w:rPr>
                            <w:rFonts w:ascii="Calibri"/>
                            <w:sz w:val="20"/>
                          </w:rPr>
                        </w:pPr>
                        <w:r>
                          <w:rPr>
                            <w:rFonts w:ascii="Calibri"/>
                            <w:sz w:val="20"/>
                          </w:rPr>
                          <w:t>4.6</w:t>
                        </w:r>
                      </w:p>
                    </w:tc>
                    <w:tc>
                      <w:tcPr>
                        <w:tcW w:w="2121" w:type="dxa"/>
                        <w:tcBorders>
                          <w:bottom w:val="nil"/>
                        </w:tcBorders>
                        <w:shd w:val="clear" w:color="auto" w:fill="F6F8FB"/>
                      </w:tcPr>
                      <w:p>
                        <w:pPr>
                          <w:pStyle w:val="TableParagraph"/>
                          <w:spacing w:before="139"/>
                          <w:ind w:left="578" w:right="558"/>
                          <w:jc w:val="center"/>
                          <w:rPr>
                            <w:rFonts w:ascii="Calibri"/>
                            <w:sz w:val="20"/>
                          </w:rPr>
                        </w:pPr>
                        <w:r>
                          <w:rPr>
                            <w:rFonts w:ascii="Calibri"/>
                            <w:sz w:val="20"/>
                          </w:rPr>
                          <w:t>4.5</w:t>
                        </w:r>
                      </w:p>
                    </w:tc>
                    <w:tc>
                      <w:tcPr>
                        <w:tcW w:w="2091" w:type="dxa"/>
                        <w:tcBorders>
                          <w:bottom w:val="nil"/>
                        </w:tcBorders>
                        <w:shd w:val="clear" w:color="auto" w:fill="F6F8FB"/>
                      </w:tcPr>
                      <w:p>
                        <w:pPr>
                          <w:pStyle w:val="TableParagraph"/>
                          <w:spacing w:before="139"/>
                          <w:ind w:left="560" w:right="543"/>
                          <w:jc w:val="center"/>
                          <w:rPr>
                            <w:rFonts w:ascii="Calibri"/>
                            <w:sz w:val="20"/>
                          </w:rPr>
                        </w:pPr>
                        <w:r>
                          <w:rPr>
                            <w:rFonts w:ascii="Calibri"/>
                            <w:sz w:val="20"/>
                          </w:rPr>
                          <w:t>3.1</w:t>
                        </w:r>
                      </w:p>
                    </w:tc>
                  </w:tr>
                </w:tbl>
                <w:p>
                  <w:pPr>
                    <w:pStyle w:val="BodyText"/>
                  </w:pPr>
                </w:p>
              </w:txbxContent>
            </v:textbox>
            <w10:wrap type="none"/>
          </v:shape>
        </w:pict>
      </w:r>
      <w:r>
        <w:rPr>
          <w:b/>
          <w:sz w:val="21"/>
        </w:rPr>
        <w:t>数据来源：全国高职院校状态数据采集与管理系</w:t>
      </w:r>
      <w:r>
        <w:rPr>
          <w:b/>
          <w:spacing w:val="-11"/>
          <w:sz w:val="21"/>
        </w:rPr>
        <w:t>统</w:t>
      </w:r>
      <w:r>
        <w:rPr>
          <w:b/>
          <w:sz w:val="21"/>
        </w:rPr>
        <w:t>表</w:t>
      </w:r>
      <w:r>
        <w:rPr>
          <w:b/>
          <w:spacing w:val="-55"/>
          <w:sz w:val="21"/>
        </w:rPr>
        <w:t> </w:t>
      </w:r>
      <w:r>
        <w:rPr>
          <w:b/>
          <w:sz w:val="21"/>
        </w:rPr>
        <w:t>7-2</w:t>
        <w:tab/>
        <w:t>学院毕业生主要就业城市需求变化趋势</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p>
    <w:p>
      <w:pPr>
        <w:tabs>
          <w:tab w:pos="4859" w:val="left" w:leader="none"/>
        </w:tabs>
        <w:spacing w:line="556" w:lineRule="auto" w:before="0"/>
        <w:ind w:left="4068" w:right="1424" w:hanging="1179"/>
        <w:jc w:val="left"/>
        <w:rPr>
          <w:b/>
          <w:sz w:val="21"/>
        </w:rPr>
      </w:pPr>
      <w:r>
        <w:rPr/>
        <w:pict>
          <v:shape style="position:absolute;margin-left:95.400002pt;margin-top:46.370003pt;width:404.55pt;height:115.8pt;mso-position-horizontal-relative:page;mso-position-vertical-relative:paragraph;z-index:251692032" type="#_x0000_t202" filled="false" stroked="false">
            <v:textbox inset="0,0,0,0">
              <w:txbxContent>
                <w:tbl>
                  <w:tblPr>
                    <w:tblW w:w="0" w:type="auto"/>
                    <w:jc w:val="left"/>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248"/>
                    <w:gridCol w:w="1597"/>
                    <w:gridCol w:w="1564"/>
                    <w:gridCol w:w="1681"/>
                  </w:tblGrid>
                  <w:tr>
                    <w:trPr>
                      <w:trHeight w:val="375" w:hRule="atLeast"/>
                    </w:trPr>
                    <w:tc>
                      <w:tcPr>
                        <w:tcW w:w="3248" w:type="dxa"/>
                        <w:tcBorders>
                          <w:top w:val="nil"/>
                          <w:left w:val="nil"/>
                          <w:right w:val="nil"/>
                        </w:tcBorders>
                        <w:shd w:val="clear" w:color="auto" w:fill="8DB3E1"/>
                      </w:tcPr>
                      <w:p>
                        <w:pPr>
                          <w:pStyle w:val="TableParagraph"/>
                          <w:spacing w:before="83"/>
                          <w:ind w:left="1109" w:right="1094"/>
                          <w:jc w:val="center"/>
                          <w:rPr>
                            <w:b/>
                            <w:sz w:val="20"/>
                          </w:rPr>
                        </w:pPr>
                        <w:r>
                          <w:rPr>
                            <w:b/>
                            <w:sz w:val="20"/>
                          </w:rPr>
                          <w:t>行业类名称</w:t>
                        </w:r>
                      </w:p>
                    </w:tc>
                    <w:tc>
                      <w:tcPr>
                        <w:tcW w:w="1597" w:type="dxa"/>
                        <w:tcBorders>
                          <w:top w:val="nil"/>
                          <w:left w:val="nil"/>
                          <w:right w:val="nil"/>
                        </w:tcBorders>
                        <w:shd w:val="clear" w:color="auto" w:fill="8DB3E1"/>
                      </w:tcPr>
                      <w:p>
                        <w:pPr>
                          <w:pStyle w:val="TableParagraph"/>
                          <w:spacing w:before="83"/>
                          <w:ind w:left="330" w:right="305"/>
                          <w:jc w:val="center"/>
                          <w:rPr>
                            <w:rFonts w:ascii="Calibri" w:eastAsia="Calibri"/>
                            <w:b/>
                            <w:sz w:val="20"/>
                          </w:rPr>
                        </w:pPr>
                        <w:r>
                          <w:rPr>
                            <w:rFonts w:ascii="Calibri" w:eastAsia="Calibri"/>
                            <w:b/>
                            <w:sz w:val="20"/>
                          </w:rPr>
                          <w:t>2016 </w:t>
                        </w:r>
                        <w:r>
                          <w:rPr>
                            <w:b/>
                            <w:sz w:val="20"/>
                          </w:rPr>
                          <w:t>届</w:t>
                        </w:r>
                        <w:r>
                          <w:rPr>
                            <w:rFonts w:ascii="Calibri" w:eastAsia="Calibri"/>
                            <w:b/>
                            <w:sz w:val="20"/>
                          </w:rPr>
                          <w:t>(%)</w:t>
                        </w:r>
                      </w:p>
                    </w:tc>
                    <w:tc>
                      <w:tcPr>
                        <w:tcW w:w="1564" w:type="dxa"/>
                        <w:tcBorders>
                          <w:top w:val="nil"/>
                          <w:left w:val="nil"/>
                        </w:tcBorders>
                        <w:shd w:val="clear" w:color="auto" w:fill="8DB3E1"/>
                      </w:tcPr>
                      <w:p>
                        <w:pPr>
                          <w:pStyle w:val="TableParagraph"/>
                          <w:spacing w:before="83"/>
                          <w:ind w:left="304" w:right="293"/>
                          <w:jc w:val="center"/>
                          <w:rPr>
                            <w:rFonts w:ascii="Calibri" w:eastAsia="Calibri"/>
                            <w:b/>
                            <w:sz w:val="20"/>
                          </w:rPr>
                        </w:pPr>
                        <w:r>
                          <w:rPr>
                            <w:rFonts w:ascii="Calibri" w:eastAsia="Calibri"/>
                            <w:b/>
                            <w:sz w:val="20"/>
                          </w:rPr>
                          <w:t>2017 </w:t>
                        </w:r>
                        <w:r>
                          <w:rPr>
                            <w:b/>
                            <w:sz w:val="20"/>
                          </w:rPr>
                          <w:t>届</w:t>
                        </w:r>
                        <w:r>
                          <w:rPr>
                            <w:rFonts w:ascii="Calibri" w:eastAsia="Calibri"/>
                            <w:b/>
                            <w:sz w:val="20"/>
                          </w:rPr>
                          <w:t>(%)</w:t>
                        </w:r>
                      </w:p>
                    </w:tc>
                    <w:tc>
                      <w:tcPr>
                        <w:tcW w:w="1681" w:type="dxa"/>
                        <w:tcBorders>
                          <w:top w:val="nil"/>
                          <w:right w:val="nil"/>
                        </w:tcBorders>
                        <w:shd w:val="clear" w:color="auto" w:fill="8DB3E1"/>
                      </w:tcPr>
                      <w:p>
                        <w:pPr>
                          <w:pStyle w:val="TableParagraph"/>
                          <w:spacing w:before="83"/>
                          <w:ind w:left="357" w:right="356"/>
                          <w:jc w:val="center"/>
                          <w:rPr>
                            <w:rFonts w:ascii="Calibri" w:eastAsia="Calibri"/>
                            <w:b/>
                            <w:sz w:val="20"/>
                          </w:rPr>
                        </w:pPr>
                        <w:r>
                          <w:rPr>
                            <w:rFonts w:ascii="Calibri" w:eastAsia="Calibri"/>
                            <w:b/>
                            <w:sz w:val="20"/>
                          </w:rPr>
                          <w:t>2017 </w:t>
                        </w:r>
                        <w:r>
                          <w:rPr>
                            <w:b/>
                            <w:sz w:val="20"/>
                          </w:rPr>
                          <w:t>届</w:t>
                        </w:r>
                        <w:r>
                          <w:rPr>
                            <w:rFonts w:ascii="Calibri" w:eastAsia="Calibri"/>
                            <w:b/>
                            <w:sz w:val="20"/>
                          </w:rPr>
                          <w:t>(%)</w:t>
                        </w:r>
                      </w:p>
                    </w:tc>
                  </w:tr>
                  <w:tr>
                    <w:trPr>
                      <w:trHeight w:val="373" w:hRule="atLeast"/>
                    </w:trPr>
                    <w:tc>
                      <w:tcPr>
                        <w:tcW w:w="3248" w:type="dxa"/>
                        <w:tcBorders>
                          <w:left w:val="nil"/>
                          <w:bottom w:val="single" w:sz="6" w:space="0" w:color="FFFFFF"/>
                          <w:right w:val="nil"/>
                        </w:tcBorders>
                        <w:shd w:val="clear" w:color="auto" w:fill="F6F8FB"/>
                      </w:tcPr>
                      <w:p>
                        <w:pPr>
                          <w:pStyle w:val="TableParagraph"/>
                          <w:spacing w:before="83"/>
                          <w:ind w:left="103"/>
                          <w:rPr>
                            <w:sz w:val="20"/>
                          </w:rPr>
                        </w:pPr>
                        <w:r>
                          <w:rPr>
                            <w:sz w:val="20"/>
                          </w:rPr>
                          <w:t>化学品、化工、塑胶业</w:t>
                        </w:r>
                      </w:p>
                    </w:tc>
                    <w:tc>
                      <w:tcPr>
                        <w:tcW w:w="1597" w:type="dxa"/>
                        <w:tcBorders>
                          <w:left w:val="nil"/>
                          <w:bottom w:val="single" w:sz="6" w:space="0" w:color="FFFFFF"/>
                          <w:right w:val="nil"/>
                        </w:tcBorders>
                        <w:shd w:val="clear" w:color="auto" w:fill="F6F8FB"/>
                      </w:tcPr>
                      <w:p>
                        <w:pPr>
                          <w:pStyle w:val="TableParagraph"/>
                          <w:spacing w:before="93"/>
                          <w:ind w:left="326" w:right="305"/>
                          <w:jc w:val="center"/>
                          <w:rPr>
                            <w:rFonts w:ascii="Calibri"/>
                            <w:sz w:val="20"/>
                          </w:rPr>
                        </w:pPr>
                        <w:r>
                          <w:rPr>
                            <w:rFonts w:ascii="Calibri"/>
                            <w:sz w:val="20"/>
                          </w:rPr>
                          <w:t>30.9</w:t>
                        </w:r>
                      </w:p>
                    </w:tc>
                    <w:tc>
                      <w:tcPr>
                        <w:tcW w:w="1564" w:type="dxa"/>
                        <w:tcBorders>
                          <w:left w:val="nil"/>
                          <w:bottom w:val="single" w:sz="6" w:space="0" w:color="FFFFFF"/>
                        </w:tcBorders>
                        <w:shd w:val="clear" w:color="auto" w:fill="F6F8FB"/>
                      </w:tcPr>
                      <w:p>
                        <w:pPr>
                          <w:pStyle w:val="TableParagraph"/>
                          <w:spacing w:before="93"/>
                          <w:ind w:left="302" w:right="293"/>
                          <w:jc w:val="center"/>
                          <w:rPr>
                            <w:rFonts w:ascii="Calibri"/>
                            <w:sz w:val="20"/>
                          </w:rPr>
                        </w:pPr>
                        <w:r>
                          <w:rPr>
                            <w:rFonts w:ascii="Calibri"/>
                            <w:sz w:val="20"/>
                          </w:rPr>
                          <w:t>30.8</w:t>
                        </w:r>
                      </w:p>
                    </w:tc>
                    <w:tc>
                      <w:tcPr>
                        <w:tcW w:w="1681" w:type="dxa"/>
                        <w:tcBorders>
                          <w:bottom w:val="single" w:sz="6" w:space="0" w:color="FFFFFF"/>
                          <w:right w:val="nil"/>
                        </w:tcBorders>
                        <w:shd w:val="clear" w:color="auto" w:fill="F6F8FB"/>
                      </w:tcPr>
                      <w:p>
                        <w:pPr>
                          <w:pStyle w:val="TableParagraph"/>
                          <w:spacing w:before="93"/>
                          <w:ind w:left="356" w:right="356"/>
                          <w:jc w:val="center"/>
                          <w:rPr>
                            <w:rFonts w:ascii="Calibri"/>
                            <w:sz w:val="20"/>
                          </w:rPr>
                        </w:pPr>
                        <w:r>
                          <w:rPr>
                            <w:rFonts w:ascii="Calibri"/>
                            <w:sz w:val="20"/>
                          </w:rPr>
                          <w:t>35.1</w:t>
                        </w:r>
                      </w:p>
                    </w:tc>
                  </w:tr>
                  <w:tr>
                    <w:trPr>
                      <w:trHeight w:val="373" w:hRule="atLeast"/>
                    </w:trPr>
                    <w:tc>
                      <w:tcPr>
                        <w:tcW w:w="3248" w:type="dxa"/>
                        <w:tcBorders>
                          <w:top w:val="single" w:sz="6" w:space="0" w:color="FFFFFF"/>
                          <w:left w:val="nil"/>
                          <w:right w:val="nil"/>
                        </w:tcBorders>
                        <w:shd w:val="clear" w:color="auto" w:fill="C5D4E9"/>
                      </w:tcPr>
                      <w:p>
                        <w:pPr>
                          <w:pStyle w:val="TableParagraph"/>
                          <w:spacing w:before="81"/>
                          <w:ind w:left="103"/>
                          <w:rPr>
                            <w:sz w:val="20"/>
                          </w:rPr>
                        </w:pPr>
                        <w:r>
                          <w:rPr>
                            <w:sz w:val="20"/>
                          </w:rPr>
                          <w:t>电子电气仪器设备及电脑制造业</w:t>
                        </w:r>
                      </w:p>
                    </w:tc>
                    <w:tc>
                      <w:tcPr>
                        <w:tcW w:w="1597" w:type="dxa"/>
                        <w:tcBorders>
                          <w:top w:val="single" w:sz="6" w:space="0" w:color="FFFFFF"/>
                          <w:left w:val="nil"/>
                          <w:right w:val="nil"/>
                        </w:tcBorders>
                        <w:shd w:val="clear" w:color="auto" w:fill="C5D4E9"/>
                      </w:tcPr>
                      <w:p>
                        <w:pPr>
                          <w:pStyle w:val="TableParagraph"/>
                          <w:spacing w:before="89"/>
                          <w:ind w:left="326" w:right="305"/>
                          <w:jc w:val="center"/>
                          <w:rPr>
                            <w:rFonts w:ascii="Calibri"/>
                            <w:sz w:val="20"/>
                          </w:rPr>
                        </w:pPr>
                        <w:r>
                          <w:rPr>
                            <w:rFonts w:ascii="Calibri"/>
                            <w:sz w:val="20"/>
                          </w:rPr>
                          <w:t>10.9</w:t>
                        </w:r>
                      </w:p>
                    </w:tc>
                    <w:tc>
                      <w:tcPr>
                        <w:tcW w:w="1564" w:type="dxa"/>
                        <w:tcBorders>
                          <w:top w:val="single" w:sz="6" w:space="0" w:color="FFFFFF"/>
                          <w:left w:val="nil"/>
                        </w:tcBorders>
                        <w:shd w:val="clear" w:color="auto" w:fill="C5D4E9"/>
                      </w:tcPr>
                      <w:p>
                        <w:pPr>
                          <w:pStyle w:val="TableParagraph"/>
                          <w:spacing w:before="89"/>
                          <w:ind w:left="297" w:right="293"/>
                          <w:jc w:val="center"/>
                          <w:rPr>
                            <w:rFonts w:ascii="Calibri"/>
                            <w:sz w:val="20"/>
                          </w:rPr>
                        </w:pPr>
                        <w:r>
                          <w:rPr>
                            <w:rFonts w:ascii="Calibri"/>
                            <w:sz w:val="20"/>
                          </w:rPr>
                          <w:t>7.0</w:t>
                        </w:r>
                      </w:p>
                    </w:tc>
                    <w:tc>
                      <w:tcPr>
                        <w:tcW w:w="1681" w:type="dxa"/>
                        <w:tcBorders>
                          <w:top w:val="single" w:sz="6" w:space="0" w:color="FFFFFF"/>
                          <w:right w:val="nil"/>
                        </w:tcBorders>
                        <w:shd w:val="clear" w:color="auto" w:fill="C5D4E9"/>
                      </w:tcPr>
                      <w:p>
                        <w:pPr>
                          <w:pStyle w:val="TableParagraph"/>
                          <w:spacing w:before="89"/>
                          <w:ind w:left="356" w:right="356"/>
                          <w:jc w:val="center"/>
                          <w:rPr>
                            <w:rFonts w:ascii="Calibri"/>
                            <w:sz w:val="20"/>
                          </w:rPr>
                        </w:pPr>
                        <w:r>
                          <w:rPr>
                            <w:rFonts w:ascii="Calibri"/>
                            <w:sz w:val="20"/>
                          </w:rPr>
                          <w:t>9.3</w:t>
                        </w:r>
                      </w:p>
                    </w:tc>
                  </w:tr>
                  <w:tr>
                    <w:trPr>
                      <w:trHeight w:val="373" w:hRule="atLeast"/>
                    </w:trPr>
                    <w:tc>
                      <w:tcPr>
                        <w:tcW w:w="3248" w:type="dxa"/>
                        <w:tcBorders>
                          <w:left w:val="nil"/>
                          <w:bottom w:val="single" w:sz="6" w:space="0" w:color="FFFFFF"/>
                          <w:right w:val="nil"/>
                        </w:tcBorders>
                        <w:shd w:val="clear" w:color="auto" w:fill="F6F8FB"/>
                      </w:tcPr>
                      <w:p>
                        <w:pPr>
                          <w:pStyle w:val="TableParagraph"/>
                          <w:spacing w:before="84"/>
                          <w:ind w:left="103"/>
                          <w:rPr>
                            <w:sz w:val="20"/>
                          </w:rPr>
                        </w:pPr>
                        <w:r>
                          <w:rPr>
                            <w:sz w:val="20"/>
                          </w:rPr>
                          <w:t>建筑业</w:t>
                        </w:r>
                      </w:p>
                    </w:tc>
                    <w:tc>
                      <w:tcPr>
                        <w:tcW w:w="1597" w:type="dxa"/>
                        <w:tcBorders>
                          <w:left w:val="nil"/>
                          <w:bottom w:val="single" w:sz="6" w:space="0" w:color="FFFFFF"/>
                          <w:right w:val="nil"/>
                        </w:tcBorders>
                        <w:shd w:val="clear" w:color="auto" w:fill="F6F8FB"/>
                      </w:tcPr>
                      <w:p>
                        <w:pPr>
                          <w:pStyle w:val="TableParagraph"/>
                          <w:spacing w:before="91"/>
                          <w:ind w:left="326" w:right="305"/>
                          <w:jc w:val="center"/>
                          <w:rPr>
                            <w:rFonts w:ascii="Calibri"/>
                            <w:sz w:val="20"/>
                          </w:rPr>
                        </w:pPr>
                        <w:r>
                          <w:rPr>
                            <w:rFonts w:ascii="Calibri"/>
                            <w:sz w:val="20"/>
                          </w:rPr>
                          <w:t>3.0</w:t>
                        </w:r>
                      </w:p>
                    </w:tc>
                    <w:tc>
                      <w:tcPr>
                        <w:tcW w:w="1564" w:type="dxa"/>
                        <w:tcBorders>
                          <w:left w:val="nil"/>
                          <w:bottom w:val="single" w:sz="6" w:space="0" w:color="FFFFFF"/>
                        </w:tcBorders>
                        <w:shd w:val="clear" w:color="auto" w:fill="F6F8FB"/>
                      </w:tcPr>
                      <w:p>
                        <w:pPr>
                          <w:pStyle w:val="TableParagraph"/>
                          <w:spacing w:before="91"/>
                          <w:ind w:left="297" w:right="293"/>
                          <w:jc w:val="center"/>
                          <w:rPr>
                            <w:rFonts w:ascii="Calibri"/>
                            <w:sz w:val="20"/>
                          </w:rPr>
                        </w:pPr>
                        <w:r>
                          <w:rPr>
                            <w:rFonts w:ascii="Calibri"/>
                            <w:sz w:val="20"/>
                          </w:rPr>
                          <w:t>6.2</w:t>
                        </w:r>
                      </w:p>
                    </w:tc>
                    <w:tc>
                      <w:tcPr>
                        <w:tcW w:w="1681" w:type="dxa"/>
                        <w:tcBorders>
                          <w:bottom w:val="single" w:sz="6" w:space="0" w:color="FFFFFF"/>
                          <w:right w:val="nil"/>
                        </w:tcBorders>
                        <w:shd w:val="clear" w:color="auto" w:fill="F6F8FB"/>
                      </w:tcPr>
                      <w:p>
                        <w:pPr>
                          <w:pStyle w:val="TableParagraph"/>
                          <w:spacing w:before="91"/>
                          <w:ind w:left="356" w:right="356"/>
                          <w:jc w:val="center"/>
                          <w:rPr>
                            <w:rFonts w:ascii="Calibri"/>
                            <w:sz w:val="20"/>
                          </w:rPr>
                        </w:pPr>
                        <w:r>
                          <w:rPr>
                            <w:rFonts w:ascii="Calibri"/>
                            <w:sz w:val="20"/>
                          </w:rPr>
                          <w:t>5.7</w:t>
                        </w:r>
                      </w:p>
                    </w:tc>
                  </w:tr>
                  <w:tr>
                    <w:trPr>
                      <w:trHeight w:val="373" w:hRule="atLeast"/>
                    </w:trPr>
                    <w:tc>
                      <w:tcPr>
                        <w:tcW w:w="3248" w:type="dxa"/>
                        <w:tcBorders>
                          <w:top w:val="single" w:sz="6" w:space="0" w:color="FFFFFF"/>
                          <w:left w:val="nil"/>
                          <w:right w:val="nil"/>
                        </w:tcBorders>
                        <w:shd w:val="clear" w:color="auto" w:fill="C5D4E9"/>
                      </w:tcPr>
                      <w:p>
                        <w:pPr>
                          <w:pStyle w:val="TableParagraph"/>
                          <w:spacing w:before="82"/>
                          <w:ind w:left="103"/>
                          <w:rPr>
                            <w:sz w:val="20"/>
                          </w:rPr>
                        </w:pPr>
                        <w:r>
                          <w:rPr>
                            <w:sz w:val="20"/>
                          </w:rPr>
                          <w:t>机械五金制造业</w:t>
                        </w:r>
                      </w:p>
                    </w:tc>
                    <w:tc>
                      <w:tcPr>
                        <w:tcW w:w="1597" w:type="dxa"/>
                        <w:tcBorders>
                          <w:top w:val="single" w:sz="6" w:space="0" w:color="FFFFFF"/>
                          <w:left w:val="nil"/>
                          <w:right w:val="nil"/>
                        </w:tcBorders>
                        <w:shd w:val="clear" w:color="auto" w:fill="C5D4E9"/>
                      </w:tcPr>
                      <w:p>
                        <w:pPr>
                          <w:pStyle w:val="TableParagraph"/>
                          <w:spacing w:before="89"/>
                          <w:ind w:left="326" w:right="305"/>
                          <w:jc w:val="center"/>
                          <w:rPr>
                            <w:rFonts w:ascii="Calibri"/>
                            <w:sz w:val="20"/>
                          </w:rPr>
                        </w:pPr>
                        <w:r>
                          <w:rPr>
                            <w:rFonts w:ascii="Calibri"/>
                            <w:sz w:val="20"/>
                          </w:rPr>
                          <w:t>6.5</w:t>
                        </w:r>
                      </w:p>
                    </w:tc>
                    <w:tc>
                      <w:tcPr>
                        <w:tcW w:w="1564" w:type="dxa"/>
                        <w:tcBorders>
                          <w:top w:val="single" w:sz="6" w:space="0" w:color="FFFFFF"/>
                          <w:left w:val="nil"/>
                        </w:tcBorders>
                        <w:shd w:val="clear" w:color="auto" w:fill="C5D4E9"/>
                      </w:tcPr>
                      <w:p>
                        <w:pPr>
                          <w:pStyle w:val="TableParagraph"/>
                          <w:spacing w:before="89"/>
                          <w:ind w:left="297" w:right="293"/>
                          <w:jc w:val="center"/>
                          <w:rPr>
                            <w:rFonts w:ascii="Calibri"/>
                            <w:sz w:val="20"/>
                          </w:rPr>
                        </w:pPr>
                        <w:r>
                          <w:rPr>
                            <w:rFonts w:ascii="Calibri"/>
                            <w:sz w:val="20"/>
                          </w:rPr>
                          <w:t>4.9</w:t>
                        </w:r>
                      </w:p>
                    </w:tc>
                    <w:tc>
                      <w:tcPr>
                        <w:tcW w:w="1681" w:type="dxa"/>
                        <w:tcBorders>
                          <w:top w:val="single" w:sz="6" w:space="0" w:color="FFFFFF"/>
                          <w:right w:val="nil"/>
                        </w:tcBorders>
                        <w:shd w:val="clear" w:color="auto" w:fill="C5D4E9"/>
                      </w:tcPr>
                      <w:p>
                        <w:pPr>
                          <w:pStyle w:val="TableParagraph"/>
                          <w:spacing w:before="89"/>
                          <w:ind w:left="356" w:right="356"/>
                          <w:jc w:val="center"/>
                          <w:rPr>
                            <w:rFonts w:ascii="Calibri"/>
                            <w:sz w:val="20"/>
                          </w:rPr>
                        </w:pPr>
                        <w:r>
                          <w:rPr>
                            <w:rFonts w:ascii="Calibri"/>
                            <w:sz w:val="20"/>
                          </w:rPr>
                          <w:t>5.3</w:t>
                        </w:r>
                      </w:p>
                    </w:tc>
                  </w:tr>
                  <w:tr>
                    <w:trPr>
                      <w:trHeight w:val="370" w:hRule="atLeast"/>
                    </w:trPr>
                    <w:tc>
                      <w:tcPr>
                        <w:tcW w:w="3248" w:type="dxa"/>
                        <w:tcBorders>
                          <w:left w:val="nil"/>
                          <w:bottom w:val="single" w:sz="6" w:space="0" w:color="FFFFFF"/>
                          <w:right w:val="nil"/>
                        </w:tcBorders>
                        <w:shd w:val="clear" w:color="auto" w:fill="F6F8FB"/>
                      </w:tcPr>
                      <w:p>
                        <w:pPr>
                          <w:pStyle w:val="TableParagraph"/>
                          <w:spacing w:before="83"/>
                          <w:ind w:left="103"/>
                          <w:rPr>
                            <w:sz w:val="20"/>
                          </w:rPr>
                        </w:pPr>
                        <w:r>
                          <w:rPr>
                            <w:sz w:val="20"/>
                          </w:rPr>
                          <w:t>金融</w:t>
                        </w:r>
                        <w:r>
                          <w:rPr>
                            <w:rFonts w:ascii="Calibri" w:eastAsia="Calibri"/>
                            <w:sz w:val="20"/>
                          </w:rPr>
                          <w:t>(</w:t>
                        </w:r>
                        <w:r>
                          <w:rPr>
                            <w:sz w:val="20"/>
                          </w:rPr>
                          <w:t>银行</w:t>
                        </w:r>
                        <w:r>
                          <w:rPr>
                            <w:rFonts w:ascii="Calibri" w:eastAsia="Calibri"/>
                            <w:sz w:val="20"/>
                          </w:rPr>
                          <w:t>/</w:t>
                        </w:r>
                        <w:r>
                          <w:rPr>
                            <w:sz w:val="20"/>
                          </w:rPr>
                          <w:t>保险</w:t>
                        </w:r>
                        <w:r>
                          <w:rPr>
                            <w:rFonts w:ascii="Calibri" w:eastAsia="Calibri"/>
                            <w:sz w:val="20"/>
                          </w:rPr>
                          <w:t>/</w:t>
                        </w:r>
                        <w:r>
                          <w:rPr>
                            <w:sz w:val="20"/>
                          </w:rPr>
                          <w:t>证券</w:t>
                        </w:r>
                        <w:r>
                          <w:rPr>
                            <w:rFonts w:ascii="Calibri" w:eastAsia="Calibri"/>
                            <w:sz w:val="20"/>
                          </w:rPr>
                          <w:t>)</w:t>
                        </w:r>
                        <w:r>
                          <w:rPr>
                            <w:sz w:val="20"/>
                          </w:rPr>
                          <w:t>业</w:t>
                        </w:r>
                      </w:p>
                    </w:tc>
                    <w:tc>
                      <w:tcPr>
                        <w:tcW w:w="1597" w:type="dxa"/>
                        <w:tcBorders>
                          <w:left w:val="nil"/>
                          <w:bottom w:val="single" w:sz="6" w:space="0" w:color="FFFFFF"/>
                          <w:right w:val="nil"/>
                        </w:tcBorders>
                        <w:shd w:val="clear" w:color="auto" w:fill="F6F8FB"/>
                      </w:tcPr>
                      <w:p>
                        <w:pPr>
                          <w:pStyle w:val="TableParagraph"/>
                          <w:spacing w:before="92"/>
                          <w:ind w:left="326" w:right="305"/>
                          <w:jc w:val="center"/>
                          <w:rPr>
                            <w:rFonts w:ascii="Calibri"/>
                            <w:sz w:val="20"/>
                          </w:rPr>
                        </w:pPr>
                        <w:r>
                          <w:rPr>
                            <w:rFonts w:ascii="Calibri"/>
                            <w:sz w:val="20"/>
                          </w:rPr>
                          <w:t>8.0</w:t>
                        </w:r>
                      </w:p>
                    </w:tc>
                    <w:tc>
                      <w:tcPr>
                        <w:tcW w:w="1564" w:type="dxa"/>
                        <w:tcBorders>
                          <w:left w:val="nil"/>
                          <w:bottom w:val="single" w:sz="6" w:space="0" w:color="FFFFFF"/>
                        </w:tcBorders>
                        <w:shd w:val="clear" w:color="auto" w:fill="F6F8FB"/>
                      </w:tcPr>
                      <w:p>
                        <w:pPr>
                          <w:pStyle w:val="TableParagraph"/>
                          <w:spacing w:before="92"/>
                          <w:ind w:left="297" w:right="293"/>
                          <w:jc w:val="center"/>
                          <w:rPr>
                            <w:rFonts w:ascii="Calibri"/>
                            <w:sz w:val="20"/>
                          </w:rPr>
                        </w:pPr>
                        <w:r>
                          <w:rPr>
                            <w:rFonts w:ascii="Calibri"/>
                            <w:sz w:val="20"/>
                          </w:rPr>
                          <w:t>4.9</w:t>
                        </w:r>
                      </w:p>
                    </w:tc>
                    <w:tc>
                      <w:tcPr>
                        <w:tcW w:w="1681" w:type="dxa"/>
                        <w:tcBorders>
                          <w:bottom w:val="single" w:sz="6" w:space="0" w:color="FFFFFF"/>
                          <w:right w:val="nil"/>
                        </w:tcBorders>
                        <w:shd w:val="clear" w:color="auto" w:fill="F6F8FB"/>
                      </w:tcPr>
                      <w:p>
                        <w:pPr>
                          <w:pStyle w:val="TableParagraph"/>
                          <w:spacing w:before="92"/>
                          <w:ind w:left="356" w:right="356"/>
                          <w:jc w:val="center"/>
                          <w:rPr>
                            <w:rFonts w:ascii="Calibri"/>
                            <w:sz w:val="20"/>
                          </w:rPr>
                        </w:pPr>
                        <w:r>
                          <w:rPr>
                            <w:rFonts w:ascii="Calibri"/>
                            <w:sz w:val="20"/>
                          </w:rPr>
                          <w:t>6.4</w:t>
                        </w:r>
                      </w:p>
                    </w:tc>
                  </w:tr>
                </w:tbl>
                <w:p>
                  <w:pPr>
                    <w:pStyle w:val="BodyText"/>
                  </w:pPr>
                </w:p>
              </w:txbxContent>
            </v:textbox>
            <w10:wrap type="none"/>
          </v:shape>
        </w:pict>
      </w:r>
      <w:r>
        <w:rPr>
          <w:b/>
          <w:w w:val="95"/>
          <w:sz w:val="21"/>
        </w:rPr>
        <w:t>数据来源：麦可思——湖南化工职业技术学院应届毕业生培养质量评价报告(2018)  </w:t>
      </w:r>
      <w:r>
        <w:rPr>
          <w:b/>
          <w:sz w:val="21"/>
        </w:rPr>
        <w:t>表</w:t>
      </w:r>
      <w:r>
        <w:rPr>
          <w:b/>
          <w:spacing w:val="-52"/>
          <w:sz w:val="21"/>
        </w:rPr>
        <w:t> </w:t>
      </w:r>
      <w:r>
        <w:rPr>
          <w:b/>
          <w:sz w:val="21"/>
        </w:rPr>
        <w:t>7-3</w:t>
        <w:tab/>
        <w:t>学院毕业生主要行业类需求变化趋势</w:t>
      </w:r>
    </w:p>
    <w:p>
      <w:pPr>
        <w:spacing w:after="0" w:line="556" w:lineRule="auto"/>
        <w:jc w:val="left"/>
        <w:rPr>
          <w:sz w:val="21"/>
        </w:rPr>
        <w:sectPr>
          <w:pgSz w:w="11910" w:h="16840"/>
          <w:pgMar w:header="780" w:footer="1240" w:top="1260" w:bottom="1440" w:left="0" w:right="0"/>
        </w:sectPr>
      </w:pPr>
    </w:p>
    <w:p>
      <w:pPr>
        <w:pStyle w:val="BodyText"/>
        <w:spacing w:before="11"/>
        <w:rPr>
          <w:b/>
          <w:sz w:val="11"/>
        </w:rPr>
      </w:pPr>
    </w:p>
    <w:tbl>
      <w:tblPr>
        <w:tblW w:w="0" w:type="auto"/>
        <w:jc w:val="left"/>
        <w:tblInd w:w="1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4"/>
        <w:gridCol w:w="1981"/>
        <w:gridCol w:w="1564"/>
        <w:gridCol w:w="1681"/>
      </w:tblGrid>
      <w:tr>
        <w:trPr>
          <w:trHeight w:val="376" w:hRule="atLeast"/>
        </w:trPr>
        <w:tc>
          <w:tcPr>
            <w:tcW w:w="2864" w:type="dxa"/>
            <w:tcBorders>
              <w:bottom w:val="single" w:sz="4" w:space="0" w:color="FFFFFF"/>
            </w:tcBorders>
            <w:shd w:val="clear" w:color="auto" w:fill="8DB3E1"/>
          </w:tcPr>
          <w:p>
            <w:pPr>
              <w:pStyle w:val="TableParagraph"/>
              <w:spacing w:before="83"/>
              <w:ind w:left="1130"/>
              <w:rPr>
                <w:b/>
                <w:sz w:val="20"/>
              </w:rPr>
            </w:pPr>
            <w:r>
              <w:rPr>
                <w:b/>
                <w:sz w:val="20"/>
              </w:rPr>
              <w:t>行业类名称</w:t>
            </w:r>
          </w:p>
        </w:tc>
        <w:tc>
          <w:tcPr>
            <w:tcW w:w="1981" w:type="dxa"/>
            <w:tcBorders>
              <w:bottom w:val="single" w:sz="4" w:space="0" w:color="FFFFFF"/>
            </w:tcBorders>
            <w:shd w:val="clear" w:color="auto" w:fill="8DB3E1"/>
          </w:tcPr>
          <w:p>
            <w:pPr>
              <w:pStyle w:val="TableParagraph"/>
              <w:spacing w:before="83"/>
              <w:ind w:left="714" w:right="305"/>
              <w:jc w:val="center"/>
              <w:rPr>
                <w:rFonts w:ascii="Calibri" w:eastAsia="Calibri"/>
                <w:b/>
                <w:sz w:val="20"/>
              </w:rPr>
            </w:pPr>
            <w:r>
              <w:rPr>
                <w:rFonts w:ascii="Calibri" w:eastAsia="Calibri"/>
                <w:b/>
                <w:sz w:val="20"/>
              </w:rPr>
              <w:t>2016 </w:t>
            </w:r>
            <w:r>
              <w:rPr>
                <w:b/>
                <w:sz w:val="20"/>
              </w:rPr>
              <w:t>届</w:t>
            </w:r>
            <w:r>
              <w:rPr>
                <w:rFonts w:ascii="Calibri" w:eastAsia="Calibri"/>
                <w:b/>
                <w:sz w:val="20"/>
              </w:rPr>
              <w:t>(%)</w:t>
            </w:r>
          </w:p>
        </w:tc>
        <w:tc>
          <w:tcPr>
            <w:tcW w:w="1564" w:type="dxa"/>
            <w:tcBorders>
              <w:bottom w:val="single" w:sz="4" w:space="0" w:color="FFFFFF"/>
              <w:right w:val="single" w:sz="4" w:space="0" w:color="FFFFFF"/>
            </w:tcBorders>
            <w:shd w:val="clear" w:color="auto" w:fill="8DB3E1"/>
          </w:tcPr>
          <w:p>
            <w:pPr>
              <w:pStyle w:val="TableParagraph"/>
              <w:spacing w:before="83"/>
              <w:ind w:left="304" w:right="293"/>
              <w:jc w:val="center"/>
              <w:rPr>
                <w:rFonts w:ascii="Calibri" w:eastAsia="Calibri"/>
                <w:b/>
                <w:sz w:val="20"/>
              </w:rPr>
            </w:pPr>
            <w:r>
              <w:rPr>
                <w:rFonts w:ascii="Calibri" w:eastAsia="Calibri"/>
                <w:b/>
                <w:sz w:val="20"/>
              </w:rPr>
              <w:t>2017 </w:t>
            </w:r>
            <w:r>
              <w:rPr>
                <w:b/>
                <w:sz w:val="20"/>
              </w:rPr>
              <w:t>届</w:t>
            </w:r>
            <w:r>
              <w:rPr>
                <w:rFonts w:ascii="Calibri" w:eastAsia="Calibri"/>
                <w:b/>
                <w:sz w:val="20"/>
              </w:rPr>
              <w:t>(%)</w:t>
            </w:r>
          </w:p>
        </w:tc>
        <w:tc>
          <w:tcPr>
            <w:tcW w:w="1681" w:type="dxa"/>
            <w:tcBorders>
              <w:left w:val="single" w:sz="4" w:space="0" w:color="FFFFFF"/>
              <w:bottom w:val="single" w:sz="4" w:space="0" w:color="FFFFFF"/>
            </w:tcBorders>
            <w:shd w:val="clear" w:color="auto" w:fill="8DB3E1"/>
          </w:tcPr>
          <w:p>
            <w:pPr>
              <w:pStyle w:val="TableParagraph"/>
              <w:spacing w:before="83"/>
              <w:ind w:left="357" w:right="356"/>
              <w:jc w:val="center"/>
              <w:rPr>
                <w:rFonts w:ascii="Calibri" w:eastAsia="Calibri"/>
                <w:b/>
                <w:sz w:val="20"/>
              </w:rPr>
            </w:pPr>
            <w:r>
              <w:rPr>
                <w:rFonts w:ascii="Calibri" w:eastAsia="Calibri"/>
                <w:b/>
                <w:sz w:val="20"/>
              </w:rPr>
              <w:t>2017 </w:t>
            </w:r>
            <w:r>
              <w:rPr>
                <w:b/>
                <w:sz w:val="20"/>
              </w:rPr>
              <w:t>届</w:t>
            </w:r>
            <w:r>
              <w:rPr>
                <w:rFonts w:ascii="Calibri" w:eastAsia="Calibri"/>
                <w:b/>
                <w:sz w:val="20"/>
              </w:rPr>
              <w:t>(%)</w:t>
            </w:r>
          </w:p>
        </w:tc>
      </w:tr>
      <w:tr>
        <w:trPr>
          <w:trHeight w:val="405" w:hRule="atLeast"/>
        </w:trPr>
        <w:tc>
          <w:tcPr>
            <w:tcW w:w="2864" w:type="dxa"/>
            <w:tcBorders>
              <w:top w:val="single" w:sz="4" w:space="0" w:color="FFFFFF"/>
            </w:tcBorders>
            <w:shd w:val="clear" w:color="auto" w:fill="C5D4E9"/>
          </w:tcPr>
          <w:p>
            <w:pPr>
              <w:pStyle w:val="TableParagraph"/>
              <w:spacing w:before="98"/>
              <w:ind w:left="103"/>
              <w:rPr>
                <w:sz w:val="20"/>
              </w:rPr>
            </w:pPr>
            <w:r>
              <w:rPr>
                <w:sz w:val="20"/>
              </w:rPr>
              <w:t>零售商业</w:t>
            </w:r>
          </w:p>
        </w:tc>
        <w:tc>
          <w:tcPr>
            <w:tcW w:w="1981" w:type="dxa"/>
            <w:tcBorders>
              <w:top w:val="single" w:sz="4" w:space="0" w:color="FFFFFF"/>
            </w:tcBorders>
            <w:shd w:val="clear" w:color="auto" w:fill="C5D4E9"/>
          </w:tcPr>
          <w:p>
            <w:pPr>
              <w:pStyle w:val="TableParagraph"/>
              <w:spacing w:before="108"/>
              <w:ind w:left="710" w:right="305"/>
              <w:jc w:val="center"/>
              <w:rPr>
                <w:rFonts w:ascii="Calibri"/>
                <w:sz w:val="20"/>
              </w:rPr>
            </w:pPr>
            <w:r>
              <w:rPr>
                <w:rFonts w:ascii="Calibri"/>
                <w:sz w:val="20"/>
              </w:rPr>
              <w:t>6.7</w:t>
            </w:r>
          </w:p>
        </w:tc>
        <w:tc>
          <w:tcPr>
            <w:tcW w:w="1564" w:type="dxa"/>
            <w:tcBorders>
              <w:top w:val="single" w:sz="4" w:space="0" w:color="FFFFFF"/>
              <w:right w:val="single" w:sz="4" w:space="0" w:color="FFFFFF"/>
            </w:tcBorders>
            <w:shd w:val="clear" w:color="auto" w:fill="C5D4E9"/>
          </w:tcPr>
          <w:p>
            <w:pPr>
              <w:pStyle w:val="TableParagraph"/>
              <w:spacing w:before="108"/>
              <w:ind w:left="297" w:right="293"/>
              <w:jc w:val="center"/>
              <w:rPr>
                <w:rFonts w:ascii="Calibri"/>
                <w:sz w:val="20"/>
              </w:rPr>
            </w:pPr>
            <w:r>
              <w:rPr>
                <w:rFonts w:ascii="Calibri"/>
                <w:sz w:val="20"/>
              </w:rPr>
              <w:t>4.8</w:t>
            </w:r>
          </w:p>
        </w:tc>
        <w:tc>
          <w:tcPr>
            <w:tcW w:w="1681" w:type="dxa"/>
            <w:tcBorders>
              <w:top w:val="single" w:sz="4" w:space="0" w:color="FFFFFF"/>
              <w:left w:val="single" w:sz="4" w:space="0" w:color="FFFFFF"/>
            </w:tcBorders>
            <w:shd w:val="clear" w:color="auto" w:fill="C5D4E9"/>
          </w:tcPr>
          <w:p>
            <w:pPr>
              <w:pStyle w:val="TableParagraph"/>
              <w:spacing w:before="108"/>
              <w:ind w:left="356" w:right="356"/>
              <w:jc w:val="center"/>
              <w:rPr>
                <w:rFonts w:ascii="Calibri"/>
                <w:sz w:val="20"/>
              </w:rPr>
            </w:pPr>
            <w:r>
              <w:rPr>
                <w:rFonts w:ascii="Calibri"/>
                <w:sz w:val="20"/>
              </w:rPr>
              <w:t>5.2</w:t>
            </w:r>
          </w:p>
        </w:tc>
      </w:tr>
    </w:tbl>
    <w:p>
      <w:pPr>
        <w:spacing w:before="112"/>
        <w:ind w:left="2889" w:right="0" w:firstLine="0"/>
        <w:jc w:val="left"/>
        <w:rPr>
          <w:b/>
          <w:sz w:val="21"/>
        </w:rPr>
      </w:pPr>
      <w:r>
        <w:rPr>
          <w:b/>
          <w:sz w:val="21"/>
        </w:rPr>
        <w:t>数据来源：麦可思——湖南化工职业技术学院应届毕业生培养质量评价报告(2018)</w:t>
      </w:r>
    </w:p>
    <w:p>
      <w:pPr>
        <w:pStyle w:val="BodyText"/>
        <w:spacing w:before="1"/>
        <w:rPr>
          <w:b/>
          <w:sz w:val="14"/>
        </w:rPr>
      </w:pPr>
    </w:p>
    <w:p>
      <w:pPr>
        <w:pStyle w:val="BodyText"/>
        <w:spacing w:line="364" w:lineRule="auto"/>
        <w:ind w:left="1418" w:right="1453" w:firstLine="480"/>
        <w:jc w:val="both"/>
      </w:pPr>
      <w:r>
        <w:rPr>
          <w:spacing w:val="-6"/>
        </w:rPr>
        <w:t>助力企业发展的应用技术研发与服务。学院服务于地方经济发展，制定了应用技术</w:t>
      </w:r>
      <w:r>
        <w:rPr>
          <w:spacing w:val="-4"/>
        </w:rPr>
        <w:t>研发与服务团队管理办法，落实学院《教师社会服务成果考核与奖励办法》，为教师搭</w:t>
      </w:r>
      <w:r>
        <w:rPr>
          <w:spacing w:val="-6"/>
        </w:rPr>
        <w:t>建开展应用技术研发与服务的平台，创设良好的软硬件环境。建设了 </w:t>
      </w:r>
      <w:r>
        <w:rPr/>
        <w:t>12</w:t>
      </w:r>
      <w:r>
        <w:rPr>
          <w:spacing w:val="-10"/>
        </w:rPr>
        <w:t> 应用技术研发</w:t>
      </w:r>
      <w:r>
        <w:rPr>
          <w:spacing w:val="-9"/>
        </w:rPr>
        <w:t>与服务团队，近三年，为中国中车株洲电力机车有限公司、株洲旗滨集团、湘潭九华国家级经开区等 </w:t>
      </w:r>
      <w:r>
        <w:rPr/>
        <w:t>100</w:t>
      </w:r>
      <w:r>
        <w:rPr>
          <w:spacing w:val="-15"/>
        </w:rPr>
        <w:t> 家企事业单位提供技术改造、工艺革新、产品孵化等技术服务 </w:t>
      </w:r>
      <w:r>
        <w:rPr/>
        <w:t>100</w:t>
      </w:r>
      <w:r>
        <w:rPr>
          <w:spacing w:val="-38"/>
        </w:rPr>
        <w:t> 余</w:t>
      </w:r>
      <w:r>
        <w:rPr/>
        <w:t>项，助推中小企业技术升级，提升了学院教师服务中小微企业发展的能力。</w:t>
      </w:r>
    </w:p>
    <w:p>
      <w:pPr>
        <w:pStyle w:val="Heading2"/>
        <w:numPr>
          <w:ilvl w:val="1"/>
          <w:numId w:val="6"/>
        </w:numPr>
        <w:tabs>
          <w:tab w:pos="2471" w:val="left" w:leader="none"/>
          <w:tab w:pos="2472" w:val="left" w:leader="none"/>
        </w:tabs>
        <w:spacing w:line="240" w:lineRule="auto" w:before="81" w:after="0"/>
        <w:ind w:left="2472" w:right="0" w:hanging="574"/>
        <w:jc w:val="left"/>
      </w:pPr>
      <w:bookmarkStart w:name="7.5  服务社区文化建设" w:id="269"/>
      <w:bookmarkEnd w:id="269"/>
      <w:r>
        <w:rPr>
          <w:b w:val="0"/>
        </w:rPr>
      </w:r>
      <w:bookmarkStart w:name="_bookmark97" w:id="270"/>
      <w:bookmarkEnd w:id="270"/>
      <w:r>
        <w:rPr>
          <w:b w:val="0"/>
        </w:rPr>
      </w:r>
      <w:bookmarkStart w:name="_bookmark97" w:id="271"/>
      <w:bookmarkEnd w:id="271"/>
      <w:r>
        <w:rPr/>
        <w:t>服务社区文化建设</w:t>
      </w:r>
    </w:p>
    <w:p>
      <w:pPr>
        <w:pStyle w:val="BodyText"/>
        <w:spacing w:before="6"/>
        <w:rPr>
          <w:rFonts w:ascii="黑体"/>
          <w:b/>
        </w:rPr>
      </w:pPr>
    </w:p>
    <w:p>
      <w:pPr>
        <w:pStyle w:val="BodyText"/>
        <w:spacing w:line="362" w:lineRule="auto"/>
        <w:ind w:left="1418" w:right="1417" w:firstLine="480"/>
        <w:jc w:val="both"/>
      </w:pPr>
      <w:r>
        <w:rPr>
          <w:spacing w:val="-4"/>
        </w:rPr>
        <w:t>学院利用场地优势和学院教师的智力优势等，不断深化社区教育服务工作，累计立</w:t>
      </w:r>
      <w:r>
        <w:rPr>
          <w:spacing w:val="-8"/>
        </w:rPr>
        <w:t>项社区教育课程 </w:t>
      </w:r>
      <w:r>
        <w:rPr/>
        <w:t>37</w:t>
      </w:r>
      <w:r>
        <w:rPr>
          <w:spacing w:val="-12"/>
        </w:rPr>
        <w:t> 门，全年为社区居民开放学院场馆 </w:t>
      </w:r>
      <w:r>
        <w:rPr/>
        <w:t>50</w:t>
      </w:r>
      <w:r>
        <w:rPr>
          <w:spacing w:val="-11"/>
        </w:rPr>
        <w:t> 余场次，举办健康保健、通识</w:t>
      </w:r>
    </w:p>
    <w:p>
      <w:pPr>
        <w:pStyle w:val="BodyText"/>
        <w:spacing w:before="5"/>
        <w:ind w:left="1418"/>
      </w:pPr>
      <w:r>
        <w:rPr/>
        <w:t>教育类公益性科普讲座 100 余场次，为丰富社区居民生活提供了强有力的支撑。</w:t>
      </w:r>
    </w:p>
    <w:p>
      <w:pPr>
        <w:pStyle w:val="BodyText"/>
        <w:spacing w:before="9"/>
      </w:pPr>
    </w:p>
    <w:p>
      <w:pPr>
        <w:pStyle w:val="Heading2"/>
        <w:numPr>
          <w:ilvl w:val="1"/>
          <w:numId w:val="6"/>
        </w:numPr>
        <w:tabs>
          <w:tab w:pos="2471" w:val="left" w:leader="none"/>
          <w:tab w:pos="2472" w:val="left" w:leader="none"/>
        </w:tabs>
        <w:spacing w:line="240" w:lineRule="auto" w:before="0" w:after="0"/>
        <w:ind w:left="2472" w:right="0" w:hanging="574"/>
        <w:jc w:val="left"/>
      </w:pPr>
      <w:bookmarkStart w:name="7.6  服务湖南职业教育发展" w:id="272"/>
      <w:bookmarkEnd w:id="272"/>
      <w:r>
        <w:rPr>
          <w:b w:val="0"/>
        </w:rPr>
      </w:r>
      <w:bookmarkStart w:name="_bookmark98" w:id="273"/>
      <w:bookmarkEnd w:id="273"/>
      <w:r>
        <w:rPr>
          <w:b w:val="0"/>
        </w:rPr>
      </w:r>
      <w:bookmarkStart w:name="_bookmark98" w:id="274"/>
      <w:bookmarkEnd w:id="274"/>
      <w:r>
        <w:rPr/>
        <w:t>服务湖南职业教育发展</w:t>
      </w:r>
    </w:p>
    <w:p>
      <w:pPr>
        <w:pStyle w:val="BodyText"/>
        <w:spacing w:before="7"/>
        <w:rPr>
          <w:rFonts w:ascii="黑体"/>
          <w:b/>
        </w:rPr>
      </w:pPr>
    </w:p>
    <w:p>
      <w:pPr>
        <w:pStyle w:val="BodyText"/>
        <w:spacing w:line="364" w:lineRule="auto"/>
        <w:ind w:left="1418" w:right="1365" w:firstLine="480"/>
        <w:jc w:val="both"/>
      </w:pPr>
      <w:r>
        <w:rPr>
          <w:spacing w:val="-3"/>
        </w:rPr>
        <w:t>学院以省级卓越高职院校项目建设为契机，推进了学院自身内涵显著提升，硬件条</w:t>
      </w:r>
      <w:r>
        <w:rPr>
          <w:spacing w:val="-7"/>
        </w:rPr>
        <w:t>件得到全面改善，与湖南石油化工职业技术学院、中南工业学校、湖南石化技工学校结</w:t>
      </w:r>
      <w:r>
        <w:rPr>
          <w:spacing w:val="-11"/>
        </w:rPr>
        <w:t>成了协同发展联盟，对口支援茶陵县职业中等专业学校、津市职业中专等学校，通过师</w:t>
      </w:r>
      <w:r>
        <w:rPr>
          <w:spacing w:val="-12"/>
        </w:rPr>
        <w:t>资培训，教学合作研究、专业教师交流学习、教学资源共享，在师资培训、专业建设、</w:t>
      </w:r>
      <w:r>
        <w:rPr>
          <w:spacing w:val="-6"/>
        </w:rPr>
        <w:t>人才培养、科研服务以及教学管理水平等方面进行精准帮扶，促进了兄弟院校相同和相近专业的建设与发展。</w:t>
      </w:r>
    </w:p>
    <w:p>
      <w:pPr>
        <w:pStyle w:val="BodyText"/>
        <w:spacing w:line="364" w:lineRule="auto"/>
        <w:ind w:left="1418" w:right="1417" w:firstLine="480"/>
        <w:jc w:val="both"/>
      </w:pPr>
      <w:r>
        <w:rPr>
          <w:spacing w:val="-12"/>
        </w:rPr>
        <w:t>截止目前，学院 </w:t>
      </w:r>
      <w:r>
        <w:rPr/>
        <w:t>180</w:t>
      </w:r>
      <w:r>
        <w:rPr>
          <w:spacing w:val="-10"/>
        </w:rPr>
        <w:t> 多个课程标准在化工职教集团院校和企业中被广泛采用；开发</w:t>
      </w:r>
      <w:r>
        <w:rPr>
          <w:spacing w:val="-4"/>
        </w:rPr>
        <w:t>的化工仿真教学软件及 </w:t>
      </w:r>
      <w:r>
        <w:rPr/>
        <w:t>3D</w:t>
      </w:r>
      <w:r>
        <w:rPr>
          <w:spacing w:val="-6"/>
        </w:rPr>
        <w:t> 虚拟工厂在集团院校中及其他兄弟院校中广泛推广，并实现在世界大学城网络空间和集团公共信息平台共享。</w:t>
      </w:r>
    </w:p>
    <w:p>
      <w:pPr>
        <w:pStyle w:val="Heading2"/>
        <w:spacing w:before="72"/>
        <w:ind w:left="1898" w:firstLine="0"/>
      </w:pPr>
      <w:bookmarkStart w:name="【典型案例22】精准培训促提升 送培到校推发展" w:id="275"/>
      <w:bookmarkEnd w:id="275"/>
      <w:r>
        <w:rPr>
          <w:b w:val="0"/>
        </w:rPr>
      </w:r>
      <w:bookmarkStart w:name="_bookmark99" w:id="276"/>
      <w:bookmarkEnd w:id="276"/>
      <w:r>
        <w:rPr>
          <w:b w:val="0"/>
        </w:rPr>
      </w:r>
      <w:r>
        <w:rPr/>
        <w:t>【典型案例 22】精准培训促提升 送培到校推发展</w:t>
      </w:r>
    </w:p>
    <w:p>
      <w:pPr>
        <w:pStyle w:val="BodyText"/>
        <w:spacing w:before="9"/>
        <w:rPr>
          <w:rFonts w:ascii="黑体"/>
          <w:b/>
          <w:sz w:val="18"/>
        </w:rPr>
      </w:pPr>
    </w:p>
    <w:p>
      <w:pPr>
        <w:pStyle w:val="BodyText"/>
        <w:spacing w:line="364" w:lineRule="auto"/>
        <w:ind w:left="1418" w:right="1417" w:firstLine="480"/>
        <w:jc w:val="both"/>
      </w:pPr>
      <w:r>
        <w:rPr>
          <w:color w:val="3366FF"/>
          <w:spacing w:val="-16"/>
        </w:rPr>
        <w:t>学院是 </w:t>
      </w:r>
      <w:r>
        <w:rPr>
          <w:color w:val="3366FF"/>
        </w:rPr>
        <w:t>2018</w:t>
      </w:r>
      <w:r>
        <w:rPr>
          <w:color w:val="3366FF"/>
          <w:spacing w:val="-8"/>
        </w:rPr>
        <w:t> 湖南省“贫困县市(区)和偏远地区学校精准培训”项目承担院校，学</w:t>
      </w:r>
      <w:r>
        <w:rPr>
          <w:color w:val="3366FF"/>
          <w:spacing w:val="-11"/>
        </w:rPr>
        <w:t>院根据贫困地区和偏远地区职业院校实际情况，从解决问题的角度出发，认真调研当前</w:t>
      </w:r>
      <w:r>
        <w:rPr>
          <w:color w:val="3366FF"/>
          <w:spacing w:val="-4"/>
        </w:rPr>
        <w:t>贫困县和偏远地区学校在教育改革中存的主要问题，研究解决的方法和途径。有针对性</w:t>
      </w:r>
      <w:r>
        <w:rPr>
          <w:color w:val="3366FF"/>
          <w:spacing w:val="-6"/>
        </w:rPr>
        <w:t>地设置培训项目，精确选取培训内容，科学设计培训模式，同时与受培学校反复共同商</w:t>
      </w:r>
    </w:p>
    <w:p>
      <w:pPr>
        <w:spacing w:after="0" w:line="364" w:lineRule="auto"/>
        <w:jc w:val="both"/>
        <w:sectPr>
          <w:pgSz w:w="11910" w:h="16840"/>
          <w:pgMar w:header="780" w:footer="1240" w:top="1260" w:bottom="1440" w:left="0" w:right="0"/>
        </w:sectPr>
      </w:pPr>
    </w:p>
    <w:p>
      <w:pPr>
        <w:pStyle w:val="BodyText"/>
        <w:spacing w:line="364" w:lineRule="auto" w:before="141"/>
        <w:ind w:left="1418" w:right="1417"/>
        <w:jc w:val="both"/>
      </w:pPr>
      <w:r>
        <w:rPr>
          <w:color w:val="3366FF"/>
          <w:spacing w:val="-5"/>
        </w:rPr>
        <w:t>讨确定涵盖职业教育政策解读、专业建设、课程开发、课堂教学和信息化教学设计及师</w:t>
      </w:r>
      <w:r>
        <w:rPr>
          <w:color w:val="3366FF"/>
          <w:spacing w:val="-4"/>
        </w:rPr>
        <w:t>资队伍建设等方面的培训具体内容，共同制定培训实施方案。在培训中精准协助与指导</w:t>
      </w:r>
      <w:r>
        <w:rPr>
          <w:color w:val="3366FF"/>
          <w:spacing w:val="-7"/>
        </w:rPr>
        <w:t>受培学校，切实解决学校在课程改革、课堂教学中存在的问题，提高有效性，确保培训质量，为此得到受培学校领导和老师的肯定与好评。截止目前，我院培训师团队已完成</w:t>
      </w:r>
      <w:r>
        <w:rPr>
          <w:color w:val="3366FF"/>
          <w:spacing w:val="-4"/>
        </w:rPr>
        <w:t>醴陵市陶瓷烟花职业技术学校、邵阳职业技术学院、龙山县第一职业中学和株洲市生物</w:t>
      </w:r>
      <w:r>
        <w:rPr>
          <w:color w:val="3366FF"/>
        </w:rPr>
        <w:t>工程中等专业学校的培训任务。</w:t>
      </w:r>
    </w:p>
    <w:p>
      <w:pPr>
        <w:pStyle w:val="BodyText"/>
        <w:ind w:left="2373"/>
        <w:rPr>
          <w:sz w:val="20"/>
        </w:rPr>
      </w:pPr>
      <w:r>
        <w:rPr>
          <w:sz w:val="20"/>
        </w:rPr>
        <w:drawing>
          <wp:inline distT="0" distB="0" distL="0" distR="0">
            <wp:extent cx="4568712" cy="2847213"/>
            <wp:effectExtent l="0" t="0" r="0" b="0"/>
            <wp:docPr id="163" name="image73.jpeg"/>
            <wp:cNvGraphicFramePr>
              <a:graphicFrameLocks noChangeAspect="1"/>
            </wp:cNvGraphicFramePr>
            <a:graphic>
              <a:graphicData uri="http://schemas.openxmlformats.org/drawingml/2006/picture">
                <pic:pic>
                  <pic:nvPicPr>
                    <pic:cNvPr id="164" name="image73.jpeg"/>
                    <pic:cNvPicPr/>
                  </pic:nvPicPr>
                  <pic:blipFill>
                    <a:blip r:embed="rId90" cstate="print"/>
                    <a:stretch>
                      <a:fillRect/>
                    </a:stretch>
                  </pic:blipFill>
                  <pic:spPr>
                    <a:xfrm>
                      <a:off x="0" y="0"/>
                      <a:ext cx="4568712" cy="2847213"/>
                    </a:xfrm>
                    <a:prstGeom prst="rect">
                      <a:avLst/>
                    </a:prstGeom>
                  </pic:spPr>
                </pic:pic>
              </a:graphicData>
            </a:graphic>
          </wp:inline>
        </w:drawing>
      </w:r>
      <w:r>
        <w:rPr>
          <w:sz w:val="20"/>
        </w:rPr>
      </w:r>
    </w:p>
    <w:p>
      <w:pPr>
        <w:tabs>
          <w:tab w:pos="789" w:val="left" w:leader="none"/>
        </w:tabs>
        <w:spacing w:before="114"/>
        <w:ind w:left="0" w:right="21" w:firstLine="0"/>
        <w:jc w:val="center"/>
        <w:rPr>
          <w:b/>
          <w:sz w:val="21"/>
        </w:rPr>
      </w:pPr>
      <w:r>
        <w:rPr>
          <w:b/>
          <w:sz w:val="21"/>
        </w:rPr>
        <w:t>图</w:t>
      </w:r>
      <w:r>
        <w:rPr>
          <w:b/>
          <w:spacing w:val="-55"/>
          <w:sz w:val="21"/>
        </w:rPr>
        <w:t> </w:t>
      </w:r>
      <w:r>
        <w:rPr>
          <w:b/>
          <w:sz w:val="21"/>
        </w:rPr>
        <w:t>7-3</w:t>
        <w:tab/>
        <w:t>学院承办的教育精准扶贫培训项目开班仪式</w:t>
      </w:r>
    </w:p>
    <w:p>
      <w:pPr>
        <w:spacing w:after="0"/>
        <w:jc w:val="center"/>
        <w:rPr>
          <w:sz w:val="21"/>
        </w:rPr>
        <w:sectPr>
          <w:pgSz w:w="11910" w:h="16840"/>
          <w:pgMar w:header="780" w:footer="1240" w:top="1260" w:bottom="1440" w:left="0" w:right="0"/>
        </w:sectPr>
      </w:pPr>
    </w:p>
    <w:p>
      <w:pPr>
        <w:pStyle w:val="BodyText"/>
        <w:rPr>
          <w:b/>
          <w:sz w:val="20"/>
        </w:rPr>
      </w:pPr>
    </w:p>
    <w:p>
      <w:pPr>
        <w:pStyle w:val="BodyText"/>
        <w:rPr>
          <w:b/>
          <w:sz w:val="20"/>
        </w:rPr>
      </w:pPr>
    </w:p>
    <w:p>
      <w:pPr>
        <w:pStyle w:val="BodyText"/>
        <w:spacing w:before="5"/>
        <w:rPr>
          <w:b/>
        </w:rPr>
      </w:pPr>
    </w:p>
    <w:p>
      <w:pPr>
        <w:pStyle w:val="Heading1"/>
        <w:numPr>
          <w:ilvl w:val="0"/>
          <w:numId w:val="8"/>
        </w:numPr>
        <w:tabs>
          <w:tab w:pos="2397" w:val="left" w:leader="none"/>
          <w:tab w:pos="2398" w:val="left" w:leader="none"/>
        </w:tabs>
        <w:spacing w:line="240" w:lineRule="auto" w:before="70" w:after="0"/>
        <w:ind w:left="2397" w:right="0" w:hanging="421"/>
        <w:jc w:val="left"/>
      </w:pPr>
      <w:bookmarkStart w:name="8  问题与挑战" w:id="277"/>
      <w:bookmarkEnd w:id="277"/>
      <w:r>
        <w:rPr>
          <w:b w:val="0"/>
        </w:rPr>
      </w:r>
      <w:bookmarkStart w:name="_bookmark100" w:id="278"/>
      <w:bookmarkEnd w:id="278"/>
      <w:r>
        <w:rPr>
          <w:b w:val="0"/>
        </w:rPr>
      </w:r>
      <w:bookmarkStart w:name="_bookmark100" w:id="279"/>
      <w:bookmarkEnd w:id="279"/>
      <w:r>
        <w:rPr/>
        <w:t>问题与挑战</w:t>
      </w:r>
    </w:p>
    <w:p>
      <w:pPr>
        <w:pStyle w:val="BodyText"/>
        <w:spacing w:before="11"/>
        <w:rPr>
          <w:rFonts w:ascii="黑体"/>
          <w:b/>
          <w:sz w:val="34"/>
        </w:rPr>
      </w:pPr>
    </w:p>
    <w:p>
      <w:pPr>
        <w:pStyle w:val="Heading2"/>
        <w:numPr>
          <w:ilvl w:val="1"/>
          <w:numId w:val="8"/>
        </w:numPr>
        <w:tabs>
          <w:tab w:pos="2471" w:val="left" w:leader="none"/>
          <w:tab w:pos="2472" w:val="left" w:leader="none"/>
        </w:tabs>
        <w:spacing w:line="240" w:lineRule="auto" w:before="0" w:after="0"/>
        <w:ind w:left="2472" w:right="0" w:hanging="574"/>
        <w:jc w:val="left"/>
      </w:pPr>
      <w:bookmarkStart w:name="8.1  学院发展面临的主要问题" w:id="280"/>
      <w:bookmarkEnd w:id="280"/>
      <w:r>
        <w:rPr>
          <w:b w:val="0"/>
        </w:rPr>
      </w:r>
      <w:bookmarkStart w:name="_bookmark101" w:id="281"/>
      <w:bookmarkEnd w:id="281"/>
      <w:r>
        <w:rPr>
          <w:b w:val="0"/>
        </w:rPr>
      </w:r>
      <w:bookmarkStart w:name="_bookmark101" w:id="282"/>
      <w:bookmarkEnd w:id="282"/>
      <w:r>
        <w:rPr/>
        <w:t>学院发展面临的主要问题</w:t>
      </w:r>
    </w:p>
    <w:p>
      <w:pPr>
        <w:pStyle w:val="BodyText"/>
        <w:spacing w:before="9"/>
        <w:rPr>
          <w:rFonts w:ascii="黑体"/>
          <w:b/>
          <w:sz w:val="30"/>
        </w:rPr>
      </w:pPr>
    </w:p>
    <w:p>
      <w:pPr>
        <w:pStyle w:val="BodyText"/>
        <w:spacing w:line="364" w:lineRule="auto"/>
        <w:ind w:left="1418" w:right="1453" w:firstLine="480"/>
        <w:jc w:val="both"/>
      </w:pPr>
      <w:r>
        <w:rPr>
          <w:spacing w:val="-8"/>
        </w:rPr>
        <w:t>在化工产业转型升级背景下，学院面临技术技能人才培养新要求和形成提升引领区</w:t>
      </w:r>
      <w:r>
        <w:rPr>
          <w:spacing w:val="-7"/>
        </w:rPr>
        <w:t>域化工产业发展能力的新挑战，要实现从“建卓越 创优质 争一流”的目标，在内涵发</w:t>
      </w:r>
      <w:r>
        <w:rPr/>
        <w:t>展、特色发展与创新驱动发展方面还存在一定差距。</w:t>
      </w:r>
    </w:p>
    <w:p>
      <w:pPr>
        <w:pStyle w:val="Heading2"/>
        <w:numPr>
          <w:ilvl w:val="2"/>
          <w:numId w:val="8"/>
        </w:numPr>
        <w:tabs>
          <w:tab w:pos="2743" w:val="left" w:leader="none"/>
          <w:tab w:pos="2744" w:val="left" w:leader="none"/>
        </w:tabs>
        <w:spacing w:line="240" w:lineRule="auto" w:before="2" w:after="0"/>
        <w:ind w:left="2743" w:right="0" w:hanging="846"/>
        <w:jc w:val="left"/>
      </w:pPr>
      <w:bookmarkStart w:name="8.1.1  校企合作、产教融合长效机制尚不健全" w:id="283"/>
      <w:bookmarkEnd w:id="283"/>
      <w:r>
        <w:rPr>
          <w:b w:val="0"/>
        </w:rPr>
      </w:r>
      <w:bookmarkStart w:name="_bookmark102" w:id="284"/>
      <w:bookmarkEnd w:id="284"/>
      <w:r>
        <w:rPr>
          <w:b w:val="0"/>
        </w:rPr>
      </w:r>
      <w:bookmarkStart w:name="_bookmark102" w:id="285"/>
      <w:bookmarkEnd w:id="285"/>
      <w:r>
        <w:rPr/>
        <w:t>校企合作、产教融合长效机制尚不健全</w:t>
      </w:r>
    </w:p>
    <w:p>
      <w:pPr>
        <w:pStyle w:val="BodyText"/>
        <w:spacing w:before="9"/>
        <w:rPr>
          <w:rFonts w:ascii="黑体"/>
          <w:b/>
        </w:rPr>
      </w:pPr>
    </w:p>
    <w:p>
      <w:pPr>
        <w:pStyle w:val="BodyText"/>
        <w:spacing w:line="364" w:lineRule="auto"/>
        <w:ind w:left="1418" w:right="1453" w:firstLine="480"/>
        <w:jc w:val="both"/>
      </w:pPr>
      <w:r>
        <w:rPr>
          <w:spacing w:val="-10"/>
        </w:rPr>
        <w:t>开放、资源整合观念不够新，创新源动力不足，保障条件有限，导致合作企业中龙</w:t>
      </w:r>
      <w:r>
        <w:rPr>
          <w:spacing w:val="-7"/>
        </w:rPr>
        <w:t>头和知名企业的比例不高，深度合作有影响的项目、校企应用技术协同创新项目及专利</w:t>
      </w:r>
      <w:r>
        <w:rPr/>
        <w:t>成果推广应用数量不多。</w:t>
      </w:r>
    </w:p>
    <w:p>
      <w:pPr>
        <w:pStyle w:val="Heading2"/>
        <w:numPr>
          <w:ilvl w:val="2"/>
          <w:numId w:val="8"/>
        </w:numPr>
        <w:tabs>
          <w:tab w:pos="2743" w:val="left" w:leader="none"/>
          <w:tab w:pos="2744" w:val="left" w:leader="none"/>
        </w:tabs>
        <w:spacing w:line="307" w:lineRule="exact" w:before="0" w:after="0"/>
        <w:ind w:left="2743" w:right="0" w:hanging="846"/>
        <w:jc w:val="left"/>
      </w:pPr>
      <w:bookmarkStart w:name="8.1.2  领军人才引进培养和教师应用技术研发服务能力还有一定差距" w:id="286"/>
      <w:bookmarkEnd w:id="286"/>
      <w:r>
        <w:rPr>
          <w:b w:val="0"/>
        </w:rPr>
      </w:r>
      <w:bookmarkStart w:name="_bookmark103" w:id="287"/>
      <w:bookmarkEnd w:id="287"/>
      <w:r>
        <w:rPr>
          <w:b w:val="0"/>
        </w:rPr>
      </w:r>
      <w:bookmarkStart w:name="_bookmark103" w:id="288"/>
      <w:bookmarkEnd w:id="288"/>
      <w:r>
        <w:rPr/>
        <w:t>领军人才引进培养和教师应用技术研发服务能力还有一定差距</w:t>
      </w:r>
    </w:p>
    <w:p>
      <w:pPr>
        <w:pStyle w:val="BodyText"/>
        <w:spacing w:before="9"/>
        <w:rPr>
          <w:rFonts w:ascii="黑体"/>
          <w:b/>
        </w:rPr>
      </w:pPr>
    </w:p>
    <w:p>
      <w:pPr>
        <w:pStyle w:val="BodyText"/>
        <w:spacing w:line="364" w:lineRule="auto"/>
        <w:ind w:left="1418" w:right="1454" w:firstLine="480"/>
        <w:jc w:val="both"/>
      </w:pPr>
      <w:r>
        <w:rPr>
          <w:spacing w:val="-7"/>
        </w:rPr>
        <w:t>领军人才引进与培养力度不够，教师应用技术研发与服务能力建设机制不健全，导致名师大师等领军人才不足，专业(群)带头人行业知名度和影响力不够，教师应用技术</w:t>
      </w:r>
      <w:r>
        <w:rPr/>
        <w:t>研发与服务能力不能很好满足企业需求。</w:t>
      </w:r>
    </w:p>
    <w:p>
      <w:pPr>
        <w:pStyle w:val="Heading2"/>
        <w:numPr>
          <w:ilvl w:val="2"/>
          <w:numId w:val="8"/>
        </w:numPr>
        <w:tabs>
          <w:tab w:pos="2743" w:val="left" w:leader="none"/>
          <w:tab w:pos="2744" w:val="left" w:leader="none"/>
        </w:tabs>
        <w:spacing w:line="240" w:lineRule="auto" w:before="2" w:after="0"/>
        <w:ind w:left="2743" w:right="0" w:hanging="846"/>
        <w:jc w:val="left"/>
      </w:pPr>
      <w:bookmarkStart w:name="8.1.3  治理运行机制需进一步完善" w:id="289"/>
      <w:bookmarkEnd w:id="289"/>
      <w:r>
        <w:rPr>
          <w:b w:val="0"/>
        </w:rPr>
      </w:r>
      <w:bookmarkStart w:name="_bookmark104" w:id="290"/>
      <w:bookmarkEnd w:id="290"/>
      <w:r>
        <w:rPr>
          <w:b w:val="0"/>
        </w:rPr>
      </w:r>
      <w:bookmarkStart w:name="_bookmark104" w:id="291"/>
      <w:bookmarkEnd w:id="291"/>
      <w:r>
        <w:rPr/>
        <w:t>治理运行机制需进一步完善</w:t>
      </w:r>
    </w:p>
    <w:p>
      <w:pPr>
        <w:pStyle w:val="BodyText"/>
        <w:spacing w:before="9"/>
        <w:rPr>
          <w:rFonts w:ascii="黑体"/>
          <w:b/>
        </w:rPr>
      </w:pPr>
    </w:p>
    <w:p>
      <w:pPr>
        <w:pStyle w:val="BodyText"/>
        <w:spacing w:line="364" w:lineRule="auto"/>
        <w:ind w:left="1418" w:right="1365" w:firstLine="480"/>
      </w:pPr>
      <w:r>
        <w:rPr>
          <w:spacing w:val="-1"/>
        </w:rPr>
        <w:t>以章程为统领的制度、标准体系还不健全，内部质量保证诊断与改进体系不完善， </w:t>
      </w:r>
      <w:r>
        <w:rPr>
          <w:spacing w:val="-9"/>
        </w:rPr>
        <w:t>与质量诊改、评价考核配套的分配与激励机制有待改进，现有制度体系还不能完全满足现代大学治理需要。</w:t>
      </w:r>
    </w:p>
    <w:p>
      <w:pPr>
        <w:pStyle w:val="Heading2"/>
        <w:numPr>
          <w:ilvl w:val="1"/>
          <w:numId w:val="8"/>
        </w:numPr>
        <w:tabs>
          <w:tab w:pos="2471" w:val="left" w:leader="none"/>
          <w:tab w:pos="2472" w:val="left" w:leader="none"/>
        </w:tabs>
        <w:spacing w:line="240" w:lineRule="auto" w:before="78" w:after="0"/>
        <w:ind w:left="2472" w:right="0" w:hanging="574"/>
        <w:jc w:val="left"/>
      </w:pPr>
      <w:bookmarkStart w:name="8.2  工作展望" w:id="292"/>
      <w:bookmarkEnd w:id="292"/>
      <w:r>
        <w:rPr>
          <w:b w:val="0"/>
        </w:rPr>
      </w:r>
      <w:bookmarkStart w:name="_bookmark105" w:id="293"/>
      <w:bookmarkEnd w:id="293"/>
      <w:r>
        <w:rPr>
          <w:b w:val="0"/>
        </w:rPr>
      </w:r>
      <w:bookmarkStart w:name="_bookmark105" w:id="294"/>
      <w:bookmarkEnd w:id="294"/>
      <w:r>
        <w:rPr/>
        <w:t>工作展望</w:t>
      </w:r>
    </w:p>
    <w:p>
      <w:pPr>
        <w:pStyle w:val="BodyText"/>
        <w:spacing w:before="12"/>
        <w:rPr>
          <w:rFonts w:ascii="黑体"/>
          <w:b/>
          <w:sz w:val="30"/>
        </w:rPr>
      </w:pPr>
    </w:p>
    <w:p>
      <w:pPr>
        <w:pStyle w:val="BodyText"/>
        <w:spacing w:line="364" w:lineRule="auto"/>
        <w:ind w:left="1418" w:right="1333" w:firstLine="480"/>
      </w:pPr>
      <w:r>
        <w:rPr>
          <w:spacing w:val="-7"/>
        </w:rPr>
        <w:t>学院将以我省职业教育“双一流”建设为引领，坚持“根植化工、合作育人、创新</w:t>
      </w:r>
      <w:r>
        <w:rPr>
          <w:spacing w:val="-11"/>
        </w:rPr>
        <w:t>驱动、铸造品牌”办学理念，紧密对接高端专用化学品和药品生产，优化专业设置，高</w:t>
      </w:r>
      <w:r>
        <w:rPr>
          <w:spacing w:val="-15"/>
        </w:rPr>
        <w:t>标准打造化工特色专业集群；围绕服务产业和地方经济、学生成长成才、学院自身发展</w:t>
      </w:r>
      <w:r>
        <w:rPr>
          <w:spacing w:val="-19"/>
        </w:rPr>
        <w:t>的战略目标，校企深度合作，培养具有“工匠精神”可持续发展的高素质技术技能人才； </w:t>
      </w:r>
      <w:r>
        <w:rPr>
          <w:spacing w:val="-10"/>
        </w:rPr>
        <w:t>深化关键领域改革，创新产教融合机制，“政、校、行、企”联动、协同创新，全面推进学院“卓越”建设行动计划，实现学院跨越发展，全面提升办学实力和水平。</w:t>
      </w:r>
    </w:p>
    <w:p>
      <w:pPr>
        <w:spacing w:after="0" w:line="364" w:lineRule="auto"/>
        <w:sectPr>
          <w:pgSz w:w="11910" w:h="16840"/>
          <w:pgMar w:header="780" w:footer="1240" w:top="1260" w:bottom="1440" w:left="0" w:right="0"/>
        </w:sectPr>
      </w:pPr>
    </w:p>
    <w:p>
      <w:pPr>
        <w:pStyle w:val="BodyText"/>
        <w:rPr>
          <w:sz w:val="20"/>
        </w:rPr>
      </w:pPr>
    </w:p>
    <w:p>
      <w:pPr>
        <w:pStyle w:val="BodyText"/>
        <w:spacing w:before="6"/>
        <w:rPr>
          <w:sz w:val="28"/>
        </w:rPr>
      </w:pPr>
    </w:p>
    <w:p>
      <w:pPr>
        <w:pStyle w:val="Heading2"/>
        <w:tabs>
          <w:tab w:pos="2800" w:val="left" w:leader="none"/>
        </w:tabs>
        <w:spacing w:before="67"/>
        <w:ind w:left="1898" w:firstLine="0"/>
      </w:pPr>
      <w:bookmarkStart w:name="附表2  学生反馈表" w:id="295"/>
      <w:bookmarkEnd w:id="295"/>
      <w:r>
        <w:rPr>
          <w:b w:val="0"/>
        </w:rPr>
      </w:r>
      <w:bookmarkStart w:name="_bookmark107" w:id="296"/>
      <w:bookmarkEnd w:id="296"/>
      <w:r>
        <w:rPr>
          <w:b w:val="0"/>
        </w:rPr>
      </w:r>
      <w:bookmarkStart w:name="附表1  计分卡" w:id="297"/>
      <w:bookmarkEnd w:id="297"/>
      <w:r>
        <w:rPr>
          <w:b w:val="0"/>
        </w:rPr>
      </w:r>
      <w:r>
        <w:rPr/>
        <w:t>附表</w:t>
      </w:r>
      <w:r>
        <w:rPr>
          <w:spacing w:val="-62"/>
        </w:rPr>
        <w:t> </w:t>
      </w:r>
      <w:r>
        <w:rPr/>
        <w:t>1</w:t>
        <w:tab/>
        <w:t>计分卡</w:t>
      </w:r>
    </w:p>
    <w:p>
      <w:pPr>
        <w:pStyle w:val="BodyText"/>
        <w:spacing w:before="11"/>
        <w:rPr>
          <w:rFonts w:ascii="黑体"/>
          <w:b/>
          <w:sz w:val="23"/>
        </w:rPr>
      </w:pPr>
    </w:p>
    <w:p>
      <w:pPr>
        <w:tabs>
          <w:tab w:pos="561" w:val="left" w:leader="none"/>
          <w:tab w:pos="1123" w:val="left" w:leader="none"/>
        </w:tabs>
        <w:spacing w:before="62"/>
        <w:ind w:left="0" w:right="35" w:firstLine="0"/>
        <w:jc w:val="center"/>
        <w:rPr>
          <w:rFonts w:ascii="黑体" w:eastAsia="黑体" w:hint="eastAsia"/>
          <w:b/>
          <w:sz w:val="28"/>
        </w:rPr>
      </w:pPr>
      <w:r>
        <w:rPr>
          <w:rFonts w:ascii="黑体" w:eastAsia="黑体" w:hint="eastAsia"/>
          <w:b/>
          <w:sz w:val="28"/>
        </w:rPr>
        <w:t>计</w:t>
        <w:tab/>
        <w:t>分</w:t>
        <w:tab/>
        <w:t>卡</w:t>
      </w:r>
    </w:p>
    <w:p>
      <w:pPr>
        <w:pStyle w:val="BodyText"/>
        <w:spacing w:before="4"/>
        <w:rPr>
          <w:rFonts w:ascii="黑体"/>
          <w:b/>
          <w:sz w:val="10"/>
        </w:rPr>
      </w:pPr>
    </w:p>
    <w:tbl>
      <w:tblPr>
        <w:tblW w:w="0" w:type="auto"/>
        <w:jc w:val="left"/>
        <w:tblInd w:w="16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5"/>
        <w:gridCol w:w="767"/>
        <w:gridCol w:w="473"/>
        <w:gridCol w:w="3506"/>
        <w:gridCol w:w="1011"/>
        <w:gridCol w:w="983"/>
        <w:gridCol w:w="1057"/>
      </w:tblGrid>
      <w:tr>
        <w:trPr>
          <w:trHeight w:val="622" w:hRule="atLeast"/>
        </w:trPr>
        <w:tc>
          <w:tcPr>
            <w:tcW w:w="765" w:type="dxa"/>
            <w:tcBorders>
              <w:bottom w:val="single" w:sz="8" w:space="0" w:color="000000"/>
              <w:right w:val="single" w:sz="8" w:space="0" w:color="000000"/>
            </w:tcBorders>
          </w:tcPr>
          <w:p>
            <w:pPr>
              <w:pStyle w:val="TableParagraph"/>
              <w:spacing w:line="298" w:lineRule="exact"/>
              <w:ind w:left="141"/>
              <w:rPr>
                <w:rFonts w:ascii="Microsoft JhengHei" w:eastAsia="Microsoft JhengHei" w:hint="eastAsia"/>
                <w:b/>
                <w:sz w:val="24"/>
              </w:rPr>
            </w:pPr>
            <w:r>
              <w:rPr>
                <w:rFonts w:ascii="Microsoft JhengHei" w:eastAsia="Microsoft JhengHei" w:hint="eastAsia"/>
                <w:b/>
                <w:sz w:val="24"/>
              </w:rPr>
              <w:t>院校</w:t>
            </w:r>
          </w:p>
          <w:p>
            <w:pPr>
              <w:pStyle w:val="TableParagraph"/>
              <w:spacing w:line="304" w:lineRule="exact"/>
              <w:ind w:left="141"/>
              <w:rPr>
                <w:rFonts w:ascii="Microsoft JhengHei" w:eastAsia="Microsoft JhengHei" w:hint="eastAsia"/>
                <w:b/>
                <w:sz w:val="24"/>
              </w:rPr>
            </w:pPr>
            <w:r>
              <w:rPr>
                <w:rFonts w:ascii="Microsoft JhengHei" w:eastAsia="Microsoft JhengHei" w:hint="eastAsia"/>
                <w:b/>
                <w:sz w:val="24"/>
              </w:rPr>
              <w:t>代码</w:t>
            </w:r>
          </w:p>
        </w:tc>
        <w:tc>
          <w:tcPr>
            <w:tcW w:w="767" w:type="dxa"/>
            <w:tcBorders>
              <w:left w:val="single" w:sz="8" w:space="0" w:color="000000"/>
              <w:bottom w:val="single" w:sz="8" w:space="0" w:color="000000"/>
              <w:right w:val="single" w:sz="8" w:space="0" w:color="000000"/>
            </w:tcBorders>
          </w:tcPr>
          <w:p>
            <w:pPr>
              <w:pStyle w:val="TableParagraph"/>
              <w:spacing w:line="298" w:lineRule="exact"/>
              <w:ind w:left="147"/>
              <w:rPr>
                <w:rFonts w:ascii="Microsoft JhengHei" w:eastAsia="Microsoft JhengHei" w:hint="eastAsia"/>
                <w:b/>
                <w:sz w:val="24"/>
              </w:rPr>
            </w:pPr>
            <w:r>
              <w:rPr>
                <w:rFonts w:ascii="Microsoft JhengHei" w:eastAsia="Microsoft JhengHei" w:hint="eastAsia"/>
                <w:b/>
                <w:sz w:val="24"/>
              </w:rPr>
              <w:t>院校</w:t>
            </w:r>
          </w:p>
          <w:p>
            <w:pPr>
              <w:pStyle w:val="TableParagraph"/>
              <w:spacing w:line="304" w:lineRule="exact"/>
              <w:ind w:left="147"/>
              <w:rPr>
                <w:rFonts w:ascii="Microsoft JhengHei" w:eastAsia="Microsoft JhengHei" w:hint="eastAsia"/>
                <w:b/>
                <w:sz w:val="24"/>
              </w:rPr>
            </w:pPr>
            <w:r>
              <w:rPr>
                <w:rFonts w:ascii="Microsoft JhengHei" w:eastAsia="Microsoft JhengHei" w:hint="eastAsia"/>
                <w:b/>
                <w:sz w:val="24"/>
              </w:rPr>
              <w:t>名称</w:t>
            </w:r>
          </w:p>
        </w:tc>
        <w:tc>
          <w:tcPr>
            <w:tcW w:w="3979" w:type="dxa"/>
            <w:gridSpan w:val="2"/>
            <w:tcBorders>
              <w:left w:val="single" w:sz="8" w:space="0" w:color="000000"/>
              <w:bottom w:val="single" w:sz="8" w:space="0" w:color="000000"/>
              <w:right w:val="single" w:sz="8" w:space="0" w:color="000000"/>
            </w:tcBorders>
          </w:tcPr>
          <w:p>
            <w:pPr>
              <w:pStyle w:val="TableParagraph"/>
              <w:spacing w:before="76"/>
              <w:ind w:left="1734" w:right="1705"/>
              <w:jc w:val="center"/>
              <w:rPr>
                <w:rFonts w:ascii="Microsoft JhengHei" w:eastAsia="Microsoft JhengHei" w:hint="eastAsia"/>
                <w:b/>
                <w:sz w:val="24"/>
              </w:rPr>
            </w:pPr>
            <w:r>
              <w:rPr>
                <w:rFonts w:ascii="Microsoft JhengHei" w:eastAsia="Microsoft JhengHei" w:hint="eastAsia"/>
                <w:b/>
                <w:sz w:val="24"/>
              </w:rPr>
              <w:t>指标</w:t>
            </w:r>
          </w:p>
        </w:tc>
        <w:tc>
          <w:tcPr>
            <w:tcW w:w="1011" w:type="dxa"/>
            <w:tcBorders>
              <w:left w:val="single" w:sz="8" w:space="0" w:color="000000"/>
              <w:bottom w:val="single" w:sz="8" w:space="0" w:color="000000"/>
              <w:right w:val="single" w:sz="8" w:space="0" w:color="000000"/>
            </w:tcBorders>
          </w:tcPr>
          <w:p>
            <w:pPr>
              <w:pStyle w:val="TableParagraph"/>
              <w:spacing w:before="76"/>
              <w:ind w:left="248" w:right="222"/>
              <w:jc w:val="center"/>
              <w:rPr>
                <w:rFonts w:ascii="Microsoft JhengHei" w:eastAsia="Microsoft JhengHei" w:hint="eastAsia"/>
                <w:b/>
                <w:sz w:val="24"/>
              </w:rPr>
            </w:pPr>
            <w:r>
              <w:rPr>
                <w:rFonts w:ascii="Microsoft JhengHei" w:eastAsia="Microsoft JhengHei" w:hint="eastAsia"/>
                <w:b/>
                <w:sz w:val="24"/>
              </w:rPr>
              <w:t>单位</w:t>
            </w:r>
          </w:p>
        </w:tc>
        <w:tc>
          <w:tcPr>
            <w:tcW w:w="983" w:type="dxa"/>
            <w:tcBorders>
              <w:left w:val="single" w:sz="8" w:space="0" w:color="000000"/>
              <w:bottom w:val="single" w:sz="8" w:space="0" w:color="000000"/>
              <w:right w:val="single" w:sz="8" w:space="0" w:color="000000"/>
            </w:tcBorders>
          </w:tcPr>
          <w:p>
            <w:pPr>
              <w:pStyle w:val="TableParagraph"/>
              <w:spacing w:before="76"/>
              <w:ind w:left="62" w:right="31"/>
              <w:jc w:val="center"/>
              <w:rPr>
                <w:rFonts w:ascii="Microsoft JhengHei" w:eastAsia="Microsoft JhengHei" w:hint="eastAsia"/>
                <w:b/>
                <w:sz w:val="24"/>
              </w:rPr>
            </w:pPr>
            <w:r>
              <w:rPr>
                <w:rFonts w:ascii="Microsoft JhengHei" w:eastAsia="Microsoft JhengHei" w:hint="eastAsia"/>
                <w:b/>
                <w:w w:val="95"/>
                <w:sz w:val="24"/>
              </w:rPr>
              <w:t>2017 年</w:t>
            </w:r>
          </w:p>
        </w:tc>
        <w:tc>
          <w:tcPr>
            <w:tcW w:w="1057" w:type="dxa"/>
            <w:tcBorders>
              <w:left w:val="single" w:sz="8" w:space="0" w:color="000000"/>
              <w:bottom w:val="single" w:sz="8" w:space="0" w:color="000000"/>
            </w:tcBorders>
          </w:tcPr>
          <w:p>
            <w:pPr>
              <w:pStyle w:val="TableParagraph"/>
              <w:spacing w:before="76"/>
              <w:ind w:left="77" w:right="43"/>
              <w:jc w:val="center"/>
              <w:rPr>
                <w:rFonts w:ascii="Microsoft JhengHei" w:eastAsia="Microsoft JhengHei" w:hint="eastAsia"/>
                <w:b/>
                <w:sz w:val="24"/>
              </w:rPr>
            </w:pPr>
            <w:r>
              <w:rPr>
                <w:rFonts w:ascii="Microsoft JhengHei" w:eastAsia="Microsoft JhengHei" w:hint="eastAsia"/>
                <w:b/>
                <w:sz w:val="24"/>
              </w:rPr>
              <w:t>2018 年</w:t>
            </w:r>
          </w:p>
        </w:tc>
      </w:tr>
      <w:tr>
        <w:trPr>
          <w:trHeight w:val="567" w:hRule="atLeast"/>
        </w:trPr>
        <w:tc>
          <w:tcPr>
            <w:tcW w:w="765" w:type="dxa"/>
            <w:tcBorders>
              <w:top w:val="single" w:sz="8" w:space="0" w:color="000000"/>
              <w:bottom w:val="nil"/>
              <w:right w:val="single" w:sz="8" w:space="0" w:color="000000"/>
            </w:tcBorders>
          </w:tcPr>
          <w:p>
            <w:pPr>
              <w:pStyle w:val="TableParagraph"/>
              <w:rPr>
                <w:rFonts w:ascii="Times New Roman"/>
                <w:sz w:val="22"/>
              </w:rPr>
            </w:pPr>
          </w:p>
        </w:tc>
        <w:tc>
          <w:tcPr>
            <w:tcW w:w="767" w:type="dxa"/>
            <w:tcBorders>
              <w:top w:val="single" w:sz="8" w:space="0" w:color="000000"/>
              <w:left w:val="single" w:sz="8" w:space="0" w:color="000000"/>
              <w:bottom w:val="nil"/>
              <w:right w:val="single" w:sz="8" w:space="0" w:color="000000"/>
            </w:tcBorders>
          </w:tcPr>
          <w:p>
            <w:pPr>
              <w:pStyle w:val="TableParagraph"/>
              <w:rPr>
                <w:rFonts w:ascii="Times New Roman"/>
                <w:sz w:val="22"/>
              </w:rPr>
            </w:pPr>
          </w:p>
        </w:tc>
        <w:tc>
          <w:tcPr>
            <w:tcW w:w="473" w:type="dxa"/>
            <w:tcBorders>
              <w:top w:val="single" w:sz="8" w:space="0" w:color="000000"/>
              <w:left w:val="single" w:sz="8" w:space="0" w:color="000000"/>
              <w:bottom w:val="single" w:sz="8" w:space="0" w:color="000000"/>
              <w:right w:val="single" w:sz="8" w:space="0" w:color="000000"/>
            </w:tcBorders>
          </w:tcPr>
          <w:p>
            <w:pPr>
              <w:pStyle w:val="TableParagraph"/>
              <w:spacing w:before="130"/>
              <w:ind w:left="26"/>
              <w:jc w:val="center"/>
              <w:rPr>
                <w:sz w:val="24"/>
              </w:rPr>
            </w:pPr>
            <w:r>
              <w:rPr>
                <w:sz w:val="24"/>
              </w:rPr>
              <w:t>1</w:t>
            </w:r>
          </w:p>
        </w:tc>
        <w:tc>
          <w:tcPr>
            <w:tcW w:w="3506" w:type="dxa"/>
            <w:tcBorders>
              <w:top w:val="single" w:sz="8" w:space="0" w:color="000000"/>
              <w:left w:val="single" w:sz="8" w:space="0" w:color="000000"/>
              <w:bottom w:val="single" w:sz="8" w:space="0" w:color="000000"/>
              <w:right w:val="single" w:sz="8" w:space="0" w:color="000000"/>
            </w:tcBorders>
          </w:tcPr>
          <w:p>
            <w:pPr>
              <w:pStyle w:val="TableParagraph"/>
              <w:spacing w:before="130"/>
              <w:ind w:left="112"/>
              <w:rPr>
                <w:sz w:val="24"/>
              </w:rPr>
            </w:pPr>
            <w:r>
              <w:rPr>
                <w:sz w:val="24"/>
              </w:rPr>
              <w:t>就业率</w:t>
            </w:r>
          </w:p>
        </w:tc>
        <w:tc>
          <w:tcPr>
            <w:tcW w:w="1011" w:type="dxa"/>
            <w:tcBorders>
              <w:top w:val="single" w:sz="8" w:space="0" w:color="000000"/>
              <w:left w:val="single" w:sz="8" w:space="0" w:color="000000"/>
              <w:bottom w:val="single" w:sz="8" w:space="0" w:color="000000"/>
              <w:right w:val="single" w:sz="8" w:space="0" w:color="000000"/>
            </w:tcBorders>
          </w:tcPr>
          <w:p>
            <w:pPr>
              <w:pStyle w:val="TableParagraph"/>
              <w:spacing w:before="10"/>
              <w:rPr>
                <w:rFonts w:ascii="黑体"/>
                <w:b/>
                <w:sz w:val="14"/>
              </w:rPr>
            </w:pPr>
          </w:p>
          <w:p>
            <w:pPr>
              <w:pStyle w:val="TableParagraph"/>
              <w:spacing w:line="183" w:lineRule="exact"/>
              <w:ind w:left="453"/>
              <w:rPr>
                <w:rFonts w:ascii="黑体"/>
                <w:sz w:val="18"/>
              </w:rPr>
            </w:pPr>
            <w:r>
              <w:rPr>
                <w:rFonts w:ascii="黑体"/>
                <w:position w:val="-3"/>
                <w:sz w:val="18"/>
              </w:rPr>
              <w:drawing>
                <wp:inline distT="0" distB="0" distL="0" distR="0">
                  <wp:extent cx="66008" cy="116300"/>
                  <wp:effectExtent l="0" t="0" r="0" b="0"/>
                  <wp:docPr id="165" name="image48.png"/>
                  <wp:cNvGraphicFramePr>
                    <a:graphicFrameLocks noChangeAspect="1"/>
                  </wp:cNvGraphicFramePr>
                  <a:graphic>
                    <a:graphicData uri="http://schemas.openxmlformats.org/drawingml/2006/picture">
                      <pic:pic>
                        <pic:nvPicPr>
                          <pic:cNvPr id="166"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83" w:type="dxa"/>
            <w:tcBorders>
              <w:top w:val="single" w:sz="8" w:space="0" w:color="000000"/>
              <w:left w:val="single" w:sz="8" w:space="0" w:color="000000"/>
              <w:bottom w:val="single" w:sz="8" w:space="0" w:color="000000"/>
              <w:right w:val="single" w:sz="8" w:space="0" w:color="000000"/>
            </w:tcBorders>
          </w:tcPr>
          <w:p>
            <w:pPr>
              <w:pStyle w:val="TableParagraph"/>
              <w:spacing w:before="130"/>
              <w:ind w:left="60" w:right="31"/>
              <w:jc w:val="center"/>
              <w:rPr>
                <w:sz w:val="24"/>
              </w:rPr>
            </w:pPr>
            <w:r>
              <w:rPr>
                <w:sz w:val="24"/>
              </w:rPr>
              <w:t>97.86</w:t>
            </w:r>
          </w:p>
        </w:tc>
        <w:tc>
          <w:tcPr>
            <w:tcW w:w="1057" w:type="dxa"/>
            <w:tcBorders>
              <w:top w:val="single" w:sz="8" w:space="0" w:color="000000"/>
              <w:left w:val="single" w:sz="8" w:space="0" w:color="000000"/>
              <w:bottom w:val="single" w:sz="8" w:space="0" w:color="000000"/>
            </w:tcBorders>
          </w:tcPr>
          <w:p>
            <w:pPr>
              <w:pStyle w:val="TableParagraph"/>
              <w:spacing w:before="130"/>
              <w:ind w:left="77" w:right="43"/>
              <w:jc w:val="center"/>
              <w:rPr>
                <w:sz w:val="24"/>
              </w:rPr>
            </w:pPr>
            <w:r>
              <w:rPr>
                <w:sz w:val="24"/>
              </w:rPr>
              <w:t>95.12</w:t>
            </w:r>
          </w:p>
        </w:tc>
      </w:tr>
      <w:tr>
        <w:trPr>
          <w:trHeight w:val="566" w:hRule="atLeast"/>
        </w:trPr>
        <w:tc>
          <w:tcPr>
            <w:tcW w:w="765" w:type="dxa"/>
            <w:tcBorders>
              <w:top w:val="nil"/>
              <w:bottom w:val="nil"/>
              <w:right w:val="single" w:sz="8" w:space="0" w:color="000000"/>
            </w:tcBorders>
          </w:tcPr>
          <w:p>
            <w:pPr>
              <w:pStyle w:val="TableParagraph"/>
              <w:rPr>
                <w:rFonts w:ascii="Times New Roman"/>
                <w:sz w:val="22"/>
              </w:rPr>
            </w:pPr>
          </w:p>
        </w:tc>
        <w:tc>
          <w:tcPr>
            <w:tcW w:w="767" w:type="dxa"/>
            <w:tcBorders>
              <w:top w:val="nil"/>
              <w:left w:val="single" w:sz="8" w:space="0" w:color="000000"/>
              <w:bottom w:val="nil"/>
              <w:right w:val="single" w:sz="8" w:space="0" w:color="000000"/>
            </w:tcBorders>
          </w:tcPr>
          <w:p>
            <w:pPr>
              <w:pStyle w:val="TableParagraph"/>
              <w:rPr>
                <w:rFonts w:ascii="Times New Roman"/>
                <w:sz w:val="22"/>
              </w:rPr>
            </w:pPr>
          </w:p>
        </w:tc>
        <w:tc>
          <w:tcPr>
            <w:tcW w:w="473" w:type="dxa"/>
            <w:tcBorders>
              <w:top w:val="single" w:sz="8" w:space="0" w:color="000000"/>
              <w:left w:val="single" w:sz="8" w:space="0" w:color="000000"/>
              <w:bottom w:val="single" w:sz="8" w:space="0" w:color="000000"/>
              <w:right w:val="single" w:sz="8" w:space="0" w:color="000000"/>
            </w:tcBorders>
          </w:tcPr>
          <w:p>
            <w:pPr>
              <w:pStyle w:val="TableParagraph"/>
              <w:spacing w:before="128"/>
              <w:ind w:left="26"/>
              <w:jc w:val="center"/>
              <w:rPr>
                <w:sz w:val="24"/>
              </w:rPr>
            </w:pPr>
            <w:r>
              <w:rPr>
                <w:sz w:val="24"/>
              </w:rPr>
              <w:t>2</w:t>
            </w:r>
          </w:p>
        </w:tc>
        <w:tc>
          <w:tcPr>
            <w:tcW w:w="3506" w:type="dxa"/>
            <w:tcBorders>
              <w:top w:val="single" w:sz="8" w:space="0" w:color="000000"/>
              <w:left w:val="single" w:sz="8" w:space="0" w:color="000000"/>
              <w:bottom w:val="single" w:sz="8" w:space="0" w:color="000000"/>
              <w:right w:val="single" w:sz="8" w:space="0" w:color="000000"/>
            </w:tcBorders>
          </w:tcPr>
          <w:p>
            <w:pPr>
              <w:pStyle w:val="TableParagraph"/>
              <w:spacing w:before="128"/>
              <w:ind w:left="112"/>
              <w:rPr>
                <w:sz w:val="24"/>
              </w:rPr>
            </w:pPr>
            <w:r>
              <w:rPr>
                <w:sz w:val="24"/>
              </w:rPr>
              <w:t>月收入</w:t>
            </w:r>
          </w:p>
        </w:tc>
        <w:tc>
          <w:tcPr>
            <w:tcW w:w="1011" w:type="dxa"/>
            <w:tcBorders>
              <w:top w:val="single" w:sz="8" w:space="0" w:color="000000"/>
              <w:left w:val="single" w:sz="8" w:space="0" w:color="000000"/>
              <w:bottom w:val="single" w:sz="8" w:space="0" w:color="000000"/>
              <w:right w:val="single" w:sz="8" w:space="0" w:color="000000"/>
            </w:tcBorders>
          </w:tcPr>
          <w:p>
            <w:pPr>
              <w:pStyle w:val="TableParagraph"/>
              <w:spacing w:before="128"/>
              <w:ind w:left="26"/>
              <w:jc w:val="center"/>
              <w:rPr>
                <w:sz w:val="24"/>
              </w:rPr>
            </w:pPr>
            <w:r>
              <w:rPr>
                <w:sz w:val="24"/>
              </w:rPr>
              <w:t>元</w:t>
            </w:r>
          </w:p>
        </w:tc>
        <w:tc>
          <w:tcPr>
            <w:tcW w:w="983" w:type="dxa"/>
            <w:tcBorders>
              <w:top w:val="single" w:sz="8" w:space="0" w:color="000000"/>
              <w:left w:val="single" w:sz="8" w:space="0" w:color="000000"/>
              <w:bottom w:val="single" w:sz="8" w:space="0" w:color="000000"/>
              <w:right w:val="single" w:sz="8" w:space="0" w:color="000000"/>
            </w:tcBorders>
          </w:tcPr>
          <w:p>
            <w:pPr>
              <w:pStyle w:val="TableParagraph"/>
              <w:spacing w:before="128"/>
              <w:ind w:left="60" w:right="31"/>
              <w:jc w:val="center"/>
              <w:rPr>
                <w:sz w:val="24"/>
              </w:rPr>
            </w:pPr>
            <w:r>
              <w:rPr>
                <w:sz w:val="24"/>
              </w:rPr>
              <w:t>3979</w:t>
            </w:r>
          </w:p>
        </w:tc>
        <w:tc>
          <w:tcPr>
            <w:tcW w:w="1057" w:type="dxa"/>
            <w:tcBorders>
              <w:top w:val="single" w:sz="8" w:space="0" w:color="000000"/>
              <w:left w:val="single" w:sz="8" w:space="0" w:color="000000"/>
              <w:bottom w:val="single" w:sz="8" w:space="0" w:color="000000"/>
            </w:tcBorders>
          </w:tcPr>
          <w:p>
            <w:pPr>
              <w:pStyle w:val="TableParagraph"/>
              <w:spacing w:before="128"/>
              <w:ind w:left="77" w:right="43"/>
              <w:jc w:val="center"/>
              <w:rPr>
                <w:sz w:val="24"/>
              </w:rPr>
            </w:pPr>
            <w:r>
              <w:rPr>
                <w:sz w:val="24"/>
              </w:rPr>
              <w:t>4336</w:t>
            </w:r>
          </w:p>
        </w:tc>
      </w:tr>
      <w:tr>
        <w:trPr>
          <w:trHeight w:val="451" w:hRule="atLeast"/>
        </w:trPr>
        <w:tc>
          <w:tcPr>
            <w:tcW w:w="765" w:type="dxa"/>
            <w:tcBorders>
              <w:top w:val="nil"/>
              <w:bottom w:val="nil"/>
              <w:right w:val="single" w:sz="8" w:space="0" w:color="000000"/>
            </w:tcBorders>
          </w:tcPr>
          <w:p>
            <w:pPr>
              <w:pStyle w:val="TableParagraph"/>
              <w:rPr>
                <w:rFonts w:ascii="Times New Roman"/>
                <w:sz w:val="22"/>
              </w:rPr>
            </w:pPr>
          </w:p>
        </w:tc>
        <w:tc>
          <w:tcPr>
            <w:tcW w:w="767" w:type="dxa"/>
            <w:tcBorders>
              <w:top w:val="nil"/>
              <w:left w:val="single" w:sz="8" w:space="0" w:color="000000"/>
              <w:bottom w:val="nil"/>
              <w:right w:val="single" w:sz="8" w:space="0" w:color="000000"/>
            </w:tcBorders>
          </w:tcPr>
          <w:p>
            <w:pPr>
              <w:pStyle w:val="TableParagraph"/>
              <w:spacing w:before="11"/>
              <w:rPr>
                <w:rFonts w:ascii="黑体"/>
                <w:b/>
                <w:sz w:val="14"/>
              </w:rPr>
            </w:pPr>
          </w:p>
          <w:p>
            <w:pPr>
              <w:pStyle w:val="TableParagraph"/>
              <w:spacing w:line="240" w:lineRule="exact"/>
              <w:ind w:right="151"/>
              <w:jc w:val="right"/>
              <w:rPr>
                <w:sz w:val="21"/>
              </w:rPr>
            </w:pPr>
            <w:r>
              <w:rPr>
                <w:w w:val="95"/>
                <w:sz w:val="21"/>
              </w:rPr>
              <w:t>湖南</w:t>
            </w:r>
          </w:p>
        </w:tc>
        <w:tc>
          <w:tcPr>
            <w:tcW w:w="47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26"/>
              <w:jc w:val="center"/>
              <w:rPr>
                <w:sz w:val="24"/>
              </w:rPr>
            </w:pPr>
            <w:r>
              <w:rPr>
                <w:sz w:val="24"/>
              </w:rPr>
              <w:t>3</w:t>
            </w:r>
          </w:p>
        </w:tc>
        <w:tc>
          <w:tcPr>
            <w:tcW w:w="350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112"/>
              <w:rPr>
                <w:sz w:val="24"/>
              </w:rPr>
            </w:pPr>
            <w:r>
              <w:rPr>
                <w:sz w:val="24"/>
              </w:rPr>
              <w:t>理工农医类专业相关度</w:t>
            </w:r>
          </w:p>
        </w:tc>
        <w:tc>
          <w:tcPr>
            <w:tcW w:w="101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0"/>
              <w:rPr>
                <w:rFonts w:ascii="黑体"/>
                <w:b/>
                <w:sz w:val="14"/>
              </w:rPr>
            </w:pPr>
          </w:p>
          <w:p>
            <w:pPr>
              <w:pStyle w:val="TableParagraph"/>
              <w:spacing w:line="183" w:lineRule="exact"/>
              <w:ind w:left="453"/>
              <w:rPr>
                <w:rFonts w:ascii="黑体"/>
                <w:sz w:val="18"/>
              </w:rPr>
            </w:pPr>
            <w:r>
              <w:rPr>
                <w:rFonts w:ascii="黑体"/>
                <w:position w:val="-3"/>
                <w:sz w:val="18"/>
              </w:rPr>
              <w:drawing>
                <wp:inline distT="0" distB="0" distL="0" distR="0">
                  <wp:extent cx="66008" cy="116300"/>
                  <wp:effectExtent l="0" t="0" r="0" b="0"/>
                  <wp:docPr id="167" name="image48.png"/>
                  <wp:cNvGraphicFramePr>
                    <a:graphicFrameLocks noChangeAspect="1"/>
                  </wp:cNvGraphicFramePr>
                  <a:graphic>
                    <a:graphicData uri="http://schemas.openxmlformats.org/drawingml/2006/picture">
                      <pic:pic>
                        <pic:nvPicPr>
                          <pic:cNvPr id="168"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8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195"/>
              <w:rPr>
                <w:sz w:val="24"/>
              </w:rPr>
            </w:pPr>
            <w:r>
              <w:rPr>
                <w:sz w:val="24"/>
              </w:rPr>
              <w:t>93.74</w:t>
            </w:r>
          </w:p>
        </w:tc>
        <w:tc>
          <w:tcPr>
            <w:tcW w:w="1057" w:type="dxa"/>
            <w:vMerge w:val="restart"/>
            <w:tcBorders>
              <w:top w:val="single" w:sz="8" w:space="0" w:color="000000"/>
              <w:left w:val="single" w:sz="8" w:space="0" w:color="000000"/>
              <w:bottom w:val="single" w:sz="8" w:space="0" w:color="000000"/>
            </w:tcBorders>
          </w:tcPr>
          <w:p>
            <w:pPr>
              <w:pStyle w:val="TableParagraph"/>
              <w:spacing w:before="129"/>
              <w:ind w:left="232"/>
              <w:rPr>
                <w:sz w:val="24"/>
              </w:rPr>
            </w:pPr>
            <w:r>
              <w:rPr>
                <w:sz w:val="24"/>
              </w:rPr>
              <w:t>93.25</w:t>
            </w:r>
          </w:p>
        </w:tc>
      </w:tr>
      <w:tr>
        <w:trPr>
          <w:trHeight w:val="95" w:hRule="atLeast"/>
        </w:trPr>
        <w:tc>
          <w:tcPr>
            <w:tcW w:w="765" w:type="dxa"/>
            <w:vMerge w:val="restart"/>
            <w:tcBorders>
              <w:top w:val="nil"/>
              <w:bottom w:val="nil"/>
              <w:right w:val="single" w:sz="8" w:space="0" w:color="000000"/>
            </w:tcBorders>
          </w:tcPr>
          <w:p>
            <w:pPr>
              <w:pStyle w:val="TableParagraph"/>
              <w:rPr>
                <w:rFonts w:ascii="Times New Roman"/>
                <w:sz w:val="18"/>
              </w:rPr>
            </w:pPr>
          </w:p>
        </w:tc>
        <w:tc>
          <w:tcPr>
            <w:tcW w:w="767" w:type="dxa"/>
            <w:vMerge w:val="restart"/>
            <w:tcBorders>
              <w:top w:val="nil"/>
              <w:left w:val="single" w:sz="8" w:space="0" w:color="000000"/>
              <w:bottom w:val="nil"/>
              <w:right w:val="single" w:sz="8" w:space="0" w:color="000000"/>
            </w:tcBorders>
          </w:tcPr>
          <w:p>
            <w:pPr>
              <w:pStyle w:val="TableParagraph"/>
              <w:spacing w:line="231" w:lineRule="exact"/>
              <w:ind w:left="176"/>
              <w:rPr>
                <w:sz w:val="21"/>
              </w:rPr>
            </w:pPr>
            <w:r>
              <w:rPr>
                <w:sz w:val="21"/>
              </w:rPr>
              <w:t>化工</w:t>
            </w:r>
          </w:p>
        </w:tc>
        <w:tc>
          <w:tcPr>
            <w:tcW w:w="473" w:type="dxa"/>
            <w:vMerge/>
            <w:tcBorders>
              <w:top w:val="nil"/>
              <w:left w:val="single" w:sz="8" w:space="0" w:color="000000"/>
              <w:bottom w:val="single" w:sz="8" w:space="0" w:color="000000"/>
              <w:right w:val="single" w:sz="8" w:space="0" w:color="000000"/>
            </w:tcBorders>
          </w:tcPr>
          <w:p>
            <w:pPr>
              <w:rPr>
                <w:sz w:val="2"/>
                <w:szCs w:val="2"/>
              </w:rPr>
            </w:pPr>
          </w:p>
        </w:tc>
        <w:tc>
          <w:tcPr>
            <w:tcW w:w="3506" w:type="dxa"/>
            <w:vMerge/>
            <w:tcBorders>
              <w:top w:val="nil"/>
              <w:left w:val="single" w:sz="8" w:space="0" w:color="000000"/>
              <w:bottom w:val="single" w:sz="8" w:space="0" w:color="000000"/>
              <w:right w:val="single" w:sz="8" w:space="0" w:color="000000"/>
            </w:tcBorders>
          </w:tcPr>
          <w:p>
            <w:pPr>
              <w:rPr>
                <w:sz w:val="2"/>
                <w:szCs w:val="2"/>
              </w:rPr>
            </w:pPr>
          </w:p>
        </w:tc>
        <w:tc>
          <w:tcPr>
            <w:tcW w:w="1011" w:type="dxa"/>
            <w:vMerge/>
            <w:tcBorders>
              <w:top w:val="nil"/>
              <w:left w:val="single" w:sz="8" w:space="0" w:color="000000"/>
              <w:bottom w:val="single" w:sz="8" w:space="0" w:color="000000"/>
              <w:right w:val="single" w:sz="8" w:space="0" w:color="000000"/>
            </w:tcBorders>
          </w:tcPr>
          <w:p>
            <w:pPr>
              <w:rPr>
                <w:sz w:val="2"/>
                <w:szCs w:val="2"/>
              </w:rPr>
            </w:pPr>
          </w:p>
        </w:tc>
        <w:tc>
          <w:tcPr>
            <w:tcW w:w="983" w:type="dxa"/>
            <w:vMerge/>
            <w:tcBorders>
              <w:top w:val="nil"/>
              <w:left w:val="single" w:sz="8" w:space="0" w:color="000000"/>
              <w:bottom w:val="single" w:sz="8" w:space="0" w:color="000000"/>
              <w:right w:val="single" w:sz="8" w:space="0" w:color="000000"/>
            </w:tcBorders>
          </w:tcPr>
          <w:p>
            <w:pPr>
              <w:rPr>
                <w:sz w:val="2"/>
                <w:szCs w:val="2"/>
              </w:rPr>
            </w:pPr>
          </w:p>
        </w:tc>
        <w:tc>
          <w:tcPr>
            <w:tcW w:w="1057" w:type="dxa"/>
            <w:vMerge/>
            <w:tcBorders>
              <w:top w:val="nil"/>
              <w:left w:val="single" w:sz="8" w:space="0" w:color="000000"/>
              <w:bottom w:val="single" w:sz="8" w:space="0" w:color="000000"/>
            </w:tcBorders>
          </w:tcPr>
          <w:p>
            <w:pPr>
              <w:rPr>
                <w:sz w:val="2"/>
                <w:szCs w:val="2"/>
              </w:rPr>
            </w:pPr>
          </w:p>
        </w:tc>
      </w:tr>
      <w:tr>
        <w:trPr>
          <w:trHeight w:val="135" w:hRule="atLeast"/>
        </w:trPr>
        <w:tc>
          <w:tcPr>
            <w:tcW w:w="765" w:type="dxa"/>
            <w:vMerge/>
            <w:tcBorders>
              <w:top w:val="nil"/>
              <w:bottom w:val="nil"/>
              <w:right w:val="single" w:sz="8" w:space="0" w:color="000000"/>
            </w:tcBorders>
          </w:tcPr>
          <w:p>
            <w:pPr>
              <w:rPr>
                <w:sz w:val="2"/>
                <w:szCs w:val="2"/>
              </w:rPr>
            </w:pPr>
          </w:p>
        </w:tc>
        <w:tc>
          <w:tcPr>
            <w:tcW w:w="767" w:type="dxa"/>
            <w:vMerge/>
            <w:tcBorders>
              <w:top w:val="nil"/>
              <w:left w:val="single" w:sz="8" w:space="0" w:color="000000"/>
              <w:bottom w:val="nil"/>
              <w:right w:val="single" w:sz="8" w:space="0" w:color="000000"/>
            </w:tcBorders>
          </w:tcPr>
          <w:p>
            <w:pPr>
              <w:rPr>
                <w:sz w:val="2"/>
                <w:szCs w:val="2"/>
              </w:rPr>
            </w:pPr>
          </w:p>
        </w:tc>
        <w:tc>
          <w:tcPr>
            <w:tcW w:w="47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8"/>
              <w:ind w:left="26"/>
              <w:jc w:val="center"/>
              <w:rPr>
                <w:sz w:val="24"/>
              </w:rPr>
            </w:pPr>
            <w:r>
              <w:rPr>
                <w:sz w:val="24"/>
              </w:rPr>
              <w:t>4</w:t>
            </w:r>
          </w:p>
        </w:tc>
        <w:tc>
          <w:tcPr>
            <w:tcW w:w="350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8"/>
              <w:ind w:left="112"/>
              <w:rPr>
                <w:sz w:val="24"/>
              </w:rPr>
            </w:pPr>
            <w:r>
              <w:rPr>
                <w:sz w:val="24"/>
              </w:rPr>
              <w:t>母校满意度</w:t>
            </w:r>
          </w:p>
        </w:tc>
        <w:tc>
          <w:tcPr>
            <w:tcW w:w="101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after="1"/>
              <w:rPr>
                <w:rFonts w:ascii="黑体"/>
                <w:b/>
                <w:sz w:val="14"/>
              </w:rPr>
            </w:pPr>
          </w:p>
          <w:p>
            <w:pPr>
              <w:pStyle w:val="TableParagraph"/>
              <w:spacing w:line="183" w:lineRule="exact"/>
              <w:ind w:left="453"/>
              <w:rPr>
                <w:rFonts w:ascii="黑体"/>
                <w:sz w:val="18"/>
              </w:rPr>
            </w:pPr>
            <w:r>
              <w:rPr>
                <w:rFonts w:ascii="黑体"/>
                <w:position w:val="-3"/>
                <w:sz w:val="18"/>
              </w:rPr>
              <w:drawing>
                <wp:inline distT="0" distB="0" distL="0" distR="0">
                  <wp:extent cx="66008" cy="116300"/>
                  <wp:effectExtent l="0" t="0" r="0" b="0"/>
                  <wp:docPr id="169" name="image48.png"/>
                  <wp:cNvGraphicFramePr>
                    <a:graphicFrameLocks noChangeAspect="1"/>
                  </wp:cNvGraphicFramePr>
                  <a:graphic>
                    <a:graphicData uri="http://schemas.openxmlformats.org/drawingml/2006/picture">
                      <pic:pic>
                        <pic:nvPicPr>
                          <pic:cNvPr id="170"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8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8"/>
              <w:ind w:left="195"/>
              <w:rPr>
                <w:sz w:val="24"/>
              </w:rPr>
            </w:pPr>
            <w:r>
              <w:rPr>
                <w:sz w:val="24"/>
              </w:rPr>
              <w:t>98.57</w:t>
            </w:r>
          </w:p>
        </w:tc>
        <w:tc>
          <w:tcPr>
            <w:tcW w:w="1057" w:type="dxa"/>
            <w:vMerge w:val="restart"/>
            <w:tcBorders>
              <w:top w:val="single" w:sz="8" w:space="0" w:color="000000"/>
              <w:left w:val="single" w:sz="8" w:space="0" w:color="000000"/>
              <w:bottom w:val="single" w:sz="8" w:space="0" w:color="000000"/>
            </w:tcBorders>
          </w:tcPr>
          <w:p>
            <w:pPr>
              <w:pStyle w:val="TableParagraph"/>
              <w:spacing w:before="128"/>
              <w:ind w:left="232"/>
              <w:rPr>
                <w:sz w:val="24"/>
              </w:rPr>
            </w:pPr>
            <w:r>
              <w:rPr>
                <w:sz w:val="24"/>
              </w:rPr>
              <w:t>98.74</w:t>
            </w:r>
          </w:p>
        </w:tc>
      </w:tr>
      <w:tr>
        <w:trPr>
          <w:trHeight w:val="253" w:hRule="atLeast"/>
        </w:trPr>
        <w:tc>
          <w:tcPr>
            <w:tcW w:w="765" w:type="dxa"/>
            <w:tcBorders>
              <w:top w:val="nil"/>
              <w:bottom w:val="nil"/>
              <w:right w:val="single" w:sz="8" w:space="0" w:color="000000"/>
            </w:tcBorders>
          </w:tcPr>
          <w:p>
            <w:pPr>
              <w:pStyle w:val="TableParagraph"/>
              <w:spacing w:line="234" w:lineRule="exact"/>
              <w:ind w:left="120"/>
              <w:rPr>
                <w:sz w:val="21"/>
              </w:rPr>
            </w:pPr>
            <w:r>
              <w:rPr>
                <w:sz w:val="21"/>
              </w:rPr>
              <w:t>13043</w:t>
            </w:r>
          </w:p>
        </w:tc>
        <w:tc>
          <w:tcPr>
            <w:tcW w:w="767" w:type="dxa"/>
            <w:tcBorders>
              <w:top w:val="nil"/>
              <w:left w:val="single" w:sz="8" w:space="0" w:color="000000"/>
              <w:bottom w:val="nil"/>
              <w:right w:val="single" w:sz="8" w:space="0" w:color="000000"/>
            </w:tcBorders>
          </w:tcPr>
          <w:p>
            <w:pPr>
              <w:pStyle w:val="TableParagraph"/>
              <w:spacing w:line="234" w:lineRule="exact"/>
              <w:ind w:right="151"/>
              <w:jc w:val="right"/>
              <w:rPr>
                <w:sz w:val="21"/>
              </w:rPr>
            </w:pPr>
            <w:r>
              <w:rPr>
                <w:w w:val="95"/>
                <w:sz w:val="21"/>
              </w:rPr>
              <w:t>职业</w:t>
            </w:r>
          </w:p>
        </w:tc>
        <w:tc>
          <w:tcPr>
            <w:tcW w:w="473" w:type="dxa"/>
            <w:vMerge/>
            <w:tcBorders>
              <w:top w:val="nil"/>
              <w:left w:val="single" w:sz="8" w:space="0" w:color="000000"/>
              <w:bottom w:val="single" w:sz="8" w:space="0" w:color="000000"/>
              <w:right w:val="single" w:sz="8" w:space="0" w:color="000000"/>
            </w:tcBorders>
          </w:tcPr>
          <w:p>
            <w:pPr>
              <w:rPr>
                <w:sz w:val="2"/>
                <w:szCs w:val="2"/>
              </w:rPr>
            </w:pPr>
          </w:p>
        </w:tc>
        <w:tc>
          <w:tcPr>
            <w:tcW w:w="3506" w:type="dxa"/>
            <w:vMerge/>
            <w:tcBorders>
              <w:top w:val="nil"/>
              <w:left w:val="single" w:sz="8" w:space="0" w:color="000000"/>
              <w:bottom w:val="single" w:sz="8" w:space="0" w:color="000000"/>
              <w:right w:val="single" w:sz="8" w:space="0" w:color="000000"/>
            </w:tcBorders>
          </w:tcPr>
          <w:p>
            <w:pPr>
              <w:rPr>
                <w:sz w:val="2"/>
                <w:szCs w:val="2"/>
              </w:rPr>
            </w:pPr>
          </w:p>
        </w:tc>
        <w:tc>
          <w:tcPr>
            <w:tcW w:w="1011" w:type="dxa"/>
            <w:vMerge/>
            <w:tcBorders>
              <w:top w:val="nil"/>
              <w:left w:val="single" w:sz="8" w:space="0" w:color="000000"/>
              <w:bottom w:val="single" w:sz="8" w:space="0" w:color="000000"/>
              <w:right w:val="single" w:sz="8" w:space="0" w:color="000000"/>
            </w:tcBorders>
          </w:tcPr>
          <w:p>
            <w:pPr>
              <w:rPr>
                <w:sz w:val="2"/>
                <w:szCs w:val="2"/>
              </w:rPr>
            </w:pPr>
          </w:p>
        </w:tc>
        <w:tc>
          <w:tcPr>
            <w:tcW w:w="983" w:type="dxa"/>
            <w:vMerge/>
            <w:tcBorders>
              <w:top w:val="nil"/>
              <w:left w:val="single" w:sz="8" w:space="0" w:color="000000"/>
              <w:bottom w:val="single" w:sz="8" w:space="0" w:color="000000"/>
              <w:right w:val="single" w:sz="8" w:space="0" w:color="000000"/>
            </w:tcBorders>
          </w:tcPr>
          <w:p>
            <w:pPr>
              <w:rPr>
                <w:sz w:val="2"/>
                <w:szCs w:val="2"/>
              </w:rPr>
            </w:pPr>
          </w:p>
        </w:tc>
        <w:tc>
          <w:tcPr>
            <w:tcW w:w="1057" w:type="dxa"/>
            <w:vMerge/>
            <w:tcBorders>
              <w:top w:val="nil"/>
              <w:left w:val="single" w:sz="8" w:space="0" w:color="000000"/>
              <w:bottom w:val="single" w:sz="8" w:space="0" w:color="000000"/>
            </w:tcBorders>
          </w:tcPr>
          <w:p>
            <w:pPr>
              <w:rPr>
                <w:sz w:val="2"/>
                <w:szCs w:val="2"/>
              </w:rPr>
            </w:pPr>
          </w:p>
        </w:tc>
      </w:tr>
      <w:tr>
        <w:trPr>
          <w:trHeight w:val="137" w:hRule="atLeast"/>
        </w:trPr>
        <w:tc>
          <w:tcPr>
            <w:tcW w:w="765" w:type="dxa"/>
            <w:vMerge w:val="restart"/>
            <w:tcBorders>
              <w:top w:val="nil"/>
              <w:bottom w:val="nil"/>
              <w:right w:val="single" w:sz="8" w:space="0" w:color="000000"/>
            </w:tcBorders>
          </w:tcPr>
          <w:p>
            <w:pPr>
              <w:pStyle w:val="TableParagraph"/>
              <w:rPr>
                <w:rFonts w:ascii="Times New Roman"/>
                <w:sz w:val="18"/>
              </w:rPr>
            </w:pPr>
          </w:p>
        </w:tc>
        <w:tc>
          <w:tcPr>
            <w:tcW w:w="767" w:type="dxa"/>
            <w:vMerge w:val="restart"/>
            <w:tcBorders>
              <w:top w:val="nil"/>
              <w:left w:val="single" w:sz="8" w:space="0" w:color="000000"/>
              <w:bottom w:val="nil"/>
              <w:right w:val="single" w:sz="8" w:space="0" w:color="000000"/>
            </w:tcBorders>
          </w:tcPr>
          <w:p>
            <w:pPr>
              <w:pStyle w:val="TableParagraph"/>
              <w:spacing w:line="232" w:lineRule="exact"/>
              <w:ind w:left="176"/>
              <w:rPr>
                <w:sz w:val="21"/>
              </w:rPr>
            </w:pPr>
            <w:r>
              <w:rPr>
                <w:sz w:val="21"/>
              </w:rPr>
              <w:t>技术</w:t>
            </w:r>
          </w:p>
        </w:tc>
        <w:tc>
          <w:tcPr>
            <w:tcW w:w="473" w:type="dxa"/>
            <w:vMerge/>
            <w:tcBorders>
              <w:top w:val="nil"/>
              <w:left w:val="single" w:sz="8" w:space="0" w:color="000000"/>
              <w:bottom w:val="single" w:sz="8" w:space="0" w:color="000000"/>
              <w:right w:val="single" w:sz="8" w:space="0" w:color="000000"/>
            </w:tcBorders>
          </w:tcPr>
          <w:p>
            <w:pPr>
              <w:rPr>
                <w:sz w:val="2"/>
                <w:szCs w:val="2"/>
              </w:rPr>
            </w:pPr>
          </w:p>
        </w:tc>
        <w:tc>
          <w:tcPr>
            <w:tcW w:w="3506" w:type="dxa"/>
            <w:vMerge/>
            <w:tcBorders>
              <w:top w:val="nil"/>
              <w:left w:val="single" w:sz="8" w:space="0" w:color="000000"/>
              <w:bottom w:val="single" w:sz="8" w:space="0" w:color="000000"/>
              <w:right w:val="single" w:sz="8" w:space="0" w:color="000000"/>
            </w:tcBorders>
          </w:tcPr>
          <w:p>
            <w:pPr>
              <w:rPr>
                <w:sz w:val="2"/>
                <w:szCs w:val="2"/>
              </w:rPr>
            </w:pPr>
          </w:p>
        </w:tc>
        <w:tc>
          <w:tcPr>
            <w:tcW w:w="1011" w:type="dxa"/>
            <w:vMerge/>
            <w:tcBorders>
              <w:top w:val="nil"/>
              <w:left w:val="single" w:sz="8" w:space="0" w:color="000000"/>
              <w:bottom w:val="single" w:sz="8" w:space="0" w:color="000000"/>
              <w:right w:val="single" w:sz="8" w:space="0" w:color="000000"/>
            </w:tcBorders>
          </w:tcPr>
          <w:p>
            <w:pPr>
              <w:rPr>
                <w:sz w:val="2"/>
                <w:szCs w:val="2"/>
              </w:rPr>
            </w:pPr>
          </w:p>
        </w:tc>
        <w:tc>
          <w:tcPr>
            <w:tcW w:w="983" w:type="dxa"/>
            <w:vMerge/>
            <w:tcBorders>
              <w:top w:val="nil"/>
              <w:left w:val="single" w:sz="8" w:space="0" w:color="000000"/>
              <w:bottom w:val="single" w:sz="8" w:space="0" w:color="000000"/>
              <w:right w:val="single" w:sz="8" w:space="0" w:color="000000"/>
            </w:tcBorders>
          </w:tcPr>
          <w:p>
            <w:pPr>
              <w:rPr>
                <w:sz w:val="2"/>
                <w:szCs w:val="2"/>
              </w:rPr>
            </w:pPr>
          </w:p>
        </w:tc>
        <w:tc>
          <w:tcPr>
            <w:tcW w:w="1057" w:type="dxa"/>
            <w:vMerge/>
            <w:tcBorders>
              <w:top w:val="nil"/>
              <w:left w:val="single" w:sz="8" w:space="0" w:color="000000"/>
              <w:bottom w:val="single" w:sz="8" w:space="0" w:color="000000"/>
            </w:tcBorders>
          </w:tcPr>
          <w:p>
            <w:pPr>
              <w:rPr>
                <w:sz w:val="2"/>
                <w:szCs w:val="2"/>
              </w:rPr>
            </w:pPr>
          </w:p>
        </w:tc>
      </w:tr>
      <w:tr>
        <w:trPr>
          <w:trHeight w:val="94" w:hRule="atLeast"/>
        </w:trPr>
        <w:tc>
          <w:tcPr>
            <w:tcW w:w="765" w:type="dxa"/>
            <w:vMerge/>
            <w:tcBorders>
              <w:top w:val="nil"/>
              <w:bottom w:val="nil"/>
              <w:right w:val="single" w:sz="8" w:space="0" w:color="000000"/>
            </w:tcBorders>
          </w:tcPr>
          <w:p>
            <w:pPr>
              <w:rPr>
                <w:sz w:val="2"/>
                <w:szCs w:val="2"/>
              </w:rPr>
            </w:pPr>
          </w:p>
        </w:tc>
        <w:tc>
          <w:tcPr>
            <w:tcW w:w="767" w:type="dxa"/>
            <w:vMerge/>
            <w:tcBorders>
              <w:top w:val="nil"/>
              <w:left w:val="single" w:sz="8" w:space="0" w:color="000000"/>
              <w:bottom w:val="nil"/>
              <w:right w:val="single" w:sz="8" w:space="0" w:color="000000"/>
            </w:tcBorders>
          </w:tcPr>
          <w:p>
            <w:pPr>
              <w:rPr>
                <w:sz w:val="2"/>
                <w:szCs w:val="2"/>
              </w:rPr>
            </w:pPr>
          </w:p>
        </w:tc>
        <w:tc>
          <w:tcPr>
            <w:tcW w:w="47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26"/>
              <w:jc w:val="center"/>
              <w:rPr>
                <w:sz w:val="24"/>
              </w:rPr>
            </w:pPr>
            <w:r>
              <w:rPr>
                <w:sz w:val="24"/>
              </w:rPr>
              <w:t>5</w:t>
            </w:r>
          </w:p>
        </w:tc>
        <w:tc>
          <w:tcPr>
            <w:tcW w:w="350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112"/>
              <w:rPr>
                <w:sz w:val="24"/>
              </w:rPr>
            </w:pPr>
            <w:r>
              <w:rPr>
                <w:sz w:val="24"/>
              </w:rPr>
              <w:t>自主创业比例</w:t>
            </w:r>
          </w:p>
        </w:tc>
        <w:tc>
          <w:tcPr>
            <w:tcW w:w="101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after="1"/>
              <w:rPr>
                <w:rFonts w:ascii="黑体"/>
                <w:b/>
                <w:sz w:val="14"/>
              </w:rPr>
            </w:pPr>
          </w:p>
          <w:p>
            <w:pPr>
              <w:pStyle w:val="TableParagraph"/>
              <w:spacing w:line="183" w:lineRule="exact"/>
              <w:ind w:left="453"/>
              <w:rPr>
                <w:rFonts w:ascii="黑体"/>
                <w:sz w:val="18"/>
              </w:rPr>
            </w:pPr>
            <w:r>
              <w:rPr>
                <w:rFonts w:ascii="黑体"/>
                <w:position w:val="-3"/>
                <w:sz w:val="18"/>
              </w:rPr>
              <w:drawing>
                <wp:inline distT="0" distB="0" distL="0" distR="0">
                  <wp:extent cx="66008" cy="116300"/>
                  <wp:effectExtent l="0" t="0" r="0" b="0"/>
                  <wp:docPr id="171" name="image48.png"/>
                  <wp:cNvGraphicFramePr>
                    <a:graphicFrameLocks noChangeAspect="1"/>
                  </wp:cNvGraphicFramePr>
                  <a:graphic>
                    <a:graphicData uri="http://schemas.openxmlformats.org/drawingml/2006/picture">
                      <pic:pic>
                        <pic:nvPicPr>
                          <pic:cNvPr id="172"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8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315"/>
              <w:rPr>
                <w:sz w:val="24"/>
              </w:rPr>
            </w:pPr>
            <w:r>
              <w:rPr>
                <w:sz w:val="24"/>
              </w:rPr>
              <w:t>4.7</w:t>
            </w:r>
          </w:p>
        </w:tc>
        <w:tc>
          <w:tcPr>
            <w:tcW w:w="1057" w:type="dxa"/>
            <w:vMerge w:val="restart"/>
            <w:tcBorders>
              <w:top w:val="single" w:sz="8" w:space="0" w:color="000000"/>
              <w:left w:val="single" w:sz="8" w:space="0" w:color="000000"/>
              <w:bottom w:val="single" w:sz="8" w:space="0" w:color="000000"/>
            </w:tcBorders>
          </w:tcPr>
          <w:p>
            <w:pPr>
              <w:pStyle w:val="TableParagraph"/>
              <w:spacing w:before="129"/>
              <w:ind w:left="292"/>
              <w:rPr>
                <w:sz w:val="24"/>
              </w:rPr>
            </w:pPr>
            <w:r>
              <w:rPr>
                <w:sz w:val="24"/>
              </w:rPr>
              <w:t>5.18</w:t>
            </w:r>
          </w:p>
        </w:tc>
      </w:tr>
      <w:tr>
        <w:trPr>
          <w:trHeight w:val="452" w:hRule="atLeast"/>
        </w:trPr>
        <w:tc>
          <w:tcPr>
            <w:tcW w:w="765" w:type="dxa"/>
            <w:tcBorders>
              <w:top w:val="nil"/>
              <w:bottom w:val="nil"/>
              <w:right w:val="single" w:sz="8" w:space="0" w:color="000000"/>
            </w:tcBorders>
          </w:tcPr>
          <w:p>
            <w:pPr>
              <w:pStyle w:val="TableParagraph"/>
              <w:rPr>
                <w:rFonts w:ascii="Times New Roman"/>
                <w:sz w:val="22"/>
              </w:rPr>
            </w:pPr>
          </w:p>
        </w:tc>
        <w:tc>
          <w:tcPr>
            <w:tcW w:w="767" w:type="dxa"/>
            <w:tcBorders>
              <w:top w:val="nil"/>
              <w:left w:val="single" w:sz="8" w:space="0" w:color="000000"/>
              <w:bottom w:val="nil"/>
              <w:right w:val="single" w:sz="8" w:space="0" w:color="000000"/>
            </w:tcBorders>
          </w:tcPr>
          <w:p>
            <w:pPr>
              <w:pStyle w:val="TableParagraph"/>
              <w:spacing w:line="261" w:lineRule="exact"/>
              <w:ind w:right="151"/>
              <w:jc w:val="right"/>
              <w:rPr>
                <w:sz w:val="21"/>
              </w:rPr>
            </w:pPr>
            <w:r>
              <w:rPr>
                <w:w w:val="95"/>
                <w:sz w:val="21"/>
              </w:rPr>
              <w:t>学院</w:t>
            </w:r>
          </w:p>
        </w:tc>
        <w:tc>
          <w:tcPr>
            <w:tcW w:w="473" w:type="dxa"/>
            <w:vMerge/>
            <w:tcBorders>
              <w:top w:val="nil"/>
              <w:left w:val="single" w:sz="8" w:space="0" w:color="000000"/>
              <w:bottom w:val="single" w:sz="8" w:space="0" w:color="000000"/>
              <w:right w:val="single" w:sz="8" w:space="0" w:color="000000"/>
            </w:tcBorders>
          </w:tcPr>
          <w:p>
            <w:pPr>
              <w:rPr>
                <w:sz w:val="2"/>
                <w:szCs w:val="2"/>
              </w:rPr>
            </w:pPr>
          </w:p>
        </w:tc>
        <w:tc>
          <w:tcPr>
            <w:tcW w:w="3506" w:type="dxa"/>
            <w:vMerge/>
            <w:tcBorders>
              <w:top w:val="nil"/>
              <w:left w:val="single" w:sz="8" w:space="0" w:color="000000"/>
              <w:bottom w:val="single" w:sz="8" w:space="0" w:color="000000"/>
              <w:right w:val="single" w:sz="8" w:space="0" w:color="000000"/>
            </w:tcBorders>
          </w:tcPr>
          <w:p>
            <w:pPr>
              <w:rPr>
                <w:sz w:val="2"/>
                <w:szCs w:val="2"/>
              </w:rPr>
            </w:pPr>
          </w:p>
        </w:tc>
        <w:tc>
          <w:tcPr>
            <w:tcW w:w="1011" w:type="dxa"/>
            <w:vMerge/>
            <w:tcBorders>
              <w:top w:val="nil"/>
              <w:left w:val="single" w:sz="8" w:space="0" w:color="000000"/>
              <w:bottom w:val="single" w:sz="8" w:space="0" w:color="000000"/>
              <w:right w:val="single" w:sz="8" w:space="0" w:color="000000"/>
            </w:tcBorders>
          </w:tcPr>
          <w:p>
            <w:pPr>
              <w:rPr>
                <w:sz w:val="2"/>
                <w:szCs w:val="2"/>
              </w:rPr>
            </w:pPr>
          </w:p>
        </w:tc>
        <w:tc>
          <w:tcPr>
            <w:tcW w:w="983" w:type="dxa"/>
            <w:vMerge/>
            <w:tcBorders>
              <w:top w:val="nil"/>
              <w:left w:val="single" w:sz="8" w:space="0" w:color="000000"/>
              <w:bottom w:val="single" w:sz="8" w:space="0" w:color="000000"/>
              <w:right w:val="single" w:sz="8" w:space="0" w:color="000000"/>
            </w:tcBorders>
          </w:tcPr>
          <w:p>
            <w:pPr>
              <w:rPr>
                <w:sz w:val="2"/>
                <w:szCs w:val="2"/>
              </w:rPr>
            </w:pPr>
          </w:p>
        </w:tc>
        <w:tc>
          <w:tcPr>
            <w:tcW w:w="1057" w:type="dxa"/>
            <w:vMerge/>
            <w:tcBorders>
              <w:top w:val="nil"/>
              <w:left w:val="single" w:sz="8" w:space="0" w:color="000000"/>
              <w:bottom w:val="single" w:sz="8" w:space="0" w:color="000000"/>
            </w:tcBorders>
          </w:tcPr>
          <w:p>
            <w:pPr>
              <w:rPr>
                <w:sz w:val="2"/>
                <w:szCs w:val="2"/>
              </w:rPr>
            </w:pPr>
          </w:p>
        </w:tc>
      </w:tr>
      <w:tr>
        <w:trPr>
          <w:trHeight w:val="566" w:hRule="atLeast"/>
        </w:trPr>
        <w:tc>
          <w:tcPr>
            <w:tcW w:w="765" w:type="dxa"/>
            <w:tcBorders>
              <w:top w:val="nil"/>
              <w:bottom w:val="nil"/>
              <w:right w:val="single" w:sz="8" w:space="0" w:color="000000"/>
            </w:tcBorders>
          </w:tcPr>
          <w:p>
            <w:pPr>
              <w:pStyle w:val="TableParagraph"/>
              <w:rPr>
                <w:rFonts w:ascii="Times New Roman"/>
                <w:sz w:val="22"/>
              </w:rPr>
            </w:pPr>
          </w:p>
        </w:tc>
        <w:tc>
          <w:tcPr>
            <w:tcW w:w="767" w:type="dxa"/>
            <w:tcBorders>
              <w:top w:val="nil"/>
              <w:left w:val="single" w:sz="8" w:space="0" w:color="000000"/>
              <w:bottom w:val="nil"/>
              <w:right w:val="single" w:sz="8" w:space="0" w:color="000000"/>
            </w:tcBorders>
          </w:tcPr>
          <w:p>
            <w:pPr>
              <w:pStyle w:val="TableParagraph"/>
              <w:rPr>
                <w:rFonts w:ascii="Times New Roman"/>
                <w:sz w:val="22"/>
              </w:rPr>
            </w:pPr>
          </w:p>
        </w:tc>
        <w:tc>
          <w:tcPr>
            <w:tcW w:w="473" w:type="dxa"/>
            <w:tcBorders>
              <w:top w:val="single" w:sz="8" w:space="0" w:color="000000"/>
              <w:left w:val="single" w:sz="8" w:space="0" w:color="000000"/>
              <w:bottom w:val="single" w:sz="8" w:space="0" w:color="000000"/>
              <w:right w:val="single" w:sz="8" w:space="0" w:color="000000"/>
            </w:tcBorders>
          </w:tcPr>
          <w:p>
            <w:pPr>
              <w:pStyle w:val="TableParagraph"/>
              <w:spacing w:before="130"/>
              <w:ind w:left="26"/>
              <w:jc w:val="center"/>
              <w:rPr>
                <w:sz w:val="24"/>
              </w:rPr>
            </w:pPr>
            <w:r>
              <w:rPr>
                <w:sz w:val="24"/>
              </w:rPr>
              <w:t>6</w:t>
            </w:r>
          </w:p>
        </w:tc>
        <w:tc>
          <w:tcPr>
            <w:tcW w:w="3506" w:type="dxa"/>
            <w:tcBorders>
              <w:top w:val="single" w:sz="8" w:space="0" w:color="000000"/>
              <w:left w:val="single" w:sz="8" w:space="0" w:color="000000"/>
              <w:bottom w:val="single" w:sz="8" w:space="0" w:color="000000"/>
              <w:right w:val="single" w:sz="8" w:space="0" w:color="000000"/>
            </w:tcBorders>
          </w:tcPr>
          <w:p>
            <w:pPr>
              <w:pStyle w:val="TableParagraph"/>
              <w:spacing w:before="130"/>
              <w:ind w:left="112"/>
              <w:rPr>
                <w:sz w:val="24"/>
              </w:rPr>
            </w:pPr>
            <w:r>
              <w:rPr>
                <w:sz w:val="24"/>
              </w:rPr>
              <w:t>雇主满意度</w:t>
            </w:r>
          </w:p>
        </w:tc>
        <w:tc>
          <w:tcPr>
            <w:tcW w:w="1011" w:type="dxa"/>
            <w:tcBorders>
              <w:top w:val="single" w:sz="8" w:space="0" w:color="000000"/>
              <w:left w:val="single" w:sz="8" w:space="0" w:color="000000"/>
              <w:bottom w:val="single" w:sz="8" w:space="0" w:color="000000"/>
              <w:right w:val="single" w:sz="8" w:space="0" w:color="000000"/>
            </w:tcBorders>
          </w:tcPr>
          <w:p>
            <w:pPr>
              <w:pStyle w:val="TableParagraph"/>
              <w:spacing w:before="10" w:after="1"/>
              <w:rPr>
                <w:rFonts w:ascii="黑体"/>
                <w:b/>
                <w:sz w:val="14"/>
              </w:rPr>
            </w:pPr>
          </w:p>
          <w:p>
            <w:pPr>
              <w:pStyle w:val="TableParagraph"/>
              <w:spacing w:line="183" w:lineRule="exact"/>
              <w:ind w:left="453"/>
              <w:rPr>
                <w:rFonts w:ascii="黑体"/>
                <w:sz w:val="18"/>
              </w:rPr>
            </w:pPr>
            <w:r>
              <w:rPr>
                <w:rFonts w:ascii="黑体"/>
                <w:position w:val="-3"/>
                <w:sz w:val="18"/>
              </w:rPr>
              <w:drawing>
                <wp:inline distT="0" distB="0" distL="0" distR="0">
                  <wp:extent cx="66008" cy="116300"/>
                  <wp:effectExtent l="0" t="0" r="0" b="0"/>
                  <wp:docPr id="173" name="image48.png"/>
                  <wp:cNvGraphicFramePr>
                    <a:graphicFrameLocks noChangeAspect="1"/>
                  </wp:cNvGraphicFramePr>
                  <a:graphic>
                    <a:graphicData uri="http://schemas.openxmlformats.org/drawingml/2006/picture">
                      <pic:pic>
                        <pic:nvPicPr>
                          <pic:cNvPr id="174"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83" w:type="dxa"/>
            <w:tcBorders>
              <w:top w:val="single" w:sz="8" w:space="0" w:color="000000"/>
              <w:left w:val="single" w:sz="8" w:space="0" w:color="000000"/>
              <w:bottom w:val="single" w:sz="8" w:space="0" w:color="000000"/>
              <w:right w:val="single" w:sz="8" w:space="0" w:color="000000"/>
            </w:tcBorders>
          </w:tcPr>
          <w:p>
            <w:pPr>
              <w:pStyle w:val="TableParagraph"/>
              <w:spacing w:before="130"/>
              <w:ind w:left="60" w:right="31"/>
              <w:jc w:val="center"/>
              <w:rPr>
                <w:sz w:val="24"/>
              </w:rPr>
            </w:pPr>
            <w:r>
              <w:rPr>
                <w:sz w:val="24"/>
              </w:rPr>
              <w:t>97.86</w:t>
            </w:r>
          </w:p>
        </w:tc>
        <w:tc>
          <w:tcPr>
            <w:tcW w:w="1057" w:type="dxa"/>
            <w:tcBorders>
              <w:top w:val="single" w:sz="8" w:space="0" w:color="000000"/>
              <w:left w:val="single" w:sz="8" w:space="0" w:color="000000"/>
              <w:bottom w:val="single" w:sz="8" w:space="0" w:color="000000"/>
            </w:tcBorders>
          </w:tcPr>
          <w:p>
            <w:pPr>
              <w:pStyle w:val="TableParagraph"/>
              <w:spacing w:before="130"/>
              <w:ind w:left="77" w:right="43"/>
              <w:jc w:val="center"/>
              <w:rPr>
                <w:sz w:val="24"/>
              </w:rPr>
            </w:pPr>
            <w:r>
              <w:rPr>
                <w:sz w:val="24"/>
              </w:rPr>
              <w:t>97.48</w:t>
            </w:r>
          </w:p>
        </w:tc>
      </w:tr>
      <w:tr>
        <w:trPr>
          <w:trHeight w:val="566" w:hRule="atLeast"/>
        </w:trPr>
        <w:tc>
          <w:tcPr>
            <w:tcW w:w="765" w:type="dxa"/>
            <w:tcBorders>
              <w:top w:val="nil"/>
              <w:right w:val="single" w:sz="8" w:space="0" w:color="000000"/>
            </w:tcBorders>
          </w:tcPr>
          <w:p>
            <w:pPr>
              <w:pStyle w:val="TableParagraph"/>
              <w:rPr>
                <w:rFonts w:ascii="Times New Roman"/>
                <w:sz w:val="22"/>
              </w:rPr>
            </w:pPr>
          </w:p>
        </w:tc>
        <w:tc>
          <w:tcPr>
            <w:tcW w:w="767" w:type="dxa"/>
            <w:tcBorders>
              <w:top w:val="nil"/>
              <w:left w:val="single" w:sz="8" w:space="0" w:color="000000"/>
              <w:right w:val="single" w:sz="8" w:space="0" w:color="000000"/>
            </w:tcBorders>
          </w:tcPr>
          <w:p>
            <w:pPr>
              <w:pStyle w:val="TableParagraph"/>
              <w:rPr>
                <w:rFonts w:ascii="Times New Roman"/>
                <w:sz w:val="22"/>
              </w:rPr>
            </w:pPr>
          </w:p>
        </w:tc>
        <w:tc>
          <w:tcPr>
            <w:tcW w:w="473" w:type="dxa"/>
            <w:tcBorders>
              <w:top w:val="single" w:sz="8" w:space="0" w:color="000000"/>
              <w:left w:val="single" w:sz="8" w:space="0" w:color="000000"/>
              <w:right w:val="single" w:sz="8" w:space="0" w:color="000000"/>
            </w:tcBorders>
          </w:tcPr>
          <w:p>
            <w:pPr>
              <w:pStyle w:val="TableParagraph"/>
              <w:spacing w:before="128"/>
              <w:ind w:left="26"/>
              <w:jc w:val="center"/>
              <w:rPr>
                <w:sz w:val="24"/>
              </w:rPr>
            </w:pPr>
            <w:r>
              <w:rPr>
                <w:sz w:val="24"/>
              </w:rPr>
              <w:t>7</w:t>
            </w:r>
          </w:p>
        </w:tc>
        <w:tc>
          <w:tcPr>
            <w:tcW w:w="3506" w:type="dxa"/>
            <w:tcBorders>
              <w:top w:val="single" w:sz="8" w:space="0" w:color="000000"/>
              <w:left w:val="single" w:sz="8" w:space="0" w:color="000000"/>
              <w:right w:val="single" w:sz="8" w:space="0" w:color="000000"/>
            </w:tcBorders>
          </w:tcPr>
          <w:p>
            <w:pPr>
              <w:pStyle w:val="TableParagraph"/>
              <w:spacing w:before="128"/>
              <w:ind w:left="112"/>
              <w:rPr>
                <w:sz w:val="24"/>
              </w:rPr>
            </w:pPr>
            <w:r>
              <w:rPr>
                <w:sz w:val="24"/>
              </w:rPr>
              <w:t>毕业三年职位晋升比例</w:t>
            </w:r>
          </w:p>
        </w:tc>
        <w:tc>
          <w:tcPr>
            <w:tcW w:w="1011" w:type="dxa"/>
            <w:tcBorders>
              <w:top w:val="single" w:sz="8" w:space="0" w:color="000000"/>
              <w:left w:val="single" w:sz="8" w:space="0" w:color="000000"/>
              <w:right w:val="single" w:sz="8" w:space="0" w:color="000000"/>
            </w:tcBorders>
          </w:tcPr>
          <w:p>
            <w:pPr>
              <w:pStyle w:val="TableParagraph"/>
              <w:spacing w:before="9"/>
              <w:rPr>
                <w:rFonts w:ascii="黑体"/>
                <w:b/>
                <w:sz w:val="14"/>
              </w:rPr>
            </w:pPr>
          </w:p>
          <w:p>
            <w:pPr>
              <w:pStyle w:val="TableParagraph"/>
              <w:spacing w:line="183" w:lineRule="exact"/>
              <w:ind w:left="453"/>
              <w:rPr>
                <w:rFonts w:ascii="黑体"/>
                <w:sz w:val="18"/>
              </w:rPr>
            </w:pPr>
            <w:r>
              <w:rPr>
                <w:rFonts w:ascii="黑体"/>
                <w:position w:val="-3"/>
                <w:sz w:val="18"/>
              </w:rPr>
              <w:drawing>
                <wp:inline distT="0" distB="0" distL="0" distR="0">
                  <wp:extent cx="66008" cy="116300"/>
                  <wp:effectExtent l="0" t="0" r="0" b="0"/>
                  <wp:docPr id="175" name="image48.png"/>
                  <wp:cNvGraphicFramePr>
                    <a:graphicFrameLocks noChangeAspect="1"/>
                  </wp:cNvGraphicFramePr>
                  <a:graphic>
                    <a:graphicData uri="http://schemas.openxmlformats.org/drawingml/2006/picture">
                      <pic:pic>
                        <pic:nvPicPr>
                          <pic:cNvPr id="176"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83" w:type="dxa"/>
            <w:tcBorders>
              <w:top w:val="single" w:sz="8" w:space="0" w:color="000000"/>
              <w:left w:val="single" w:sz="8" w:space="0" w:color="000000"/>
              <w:right w:val="single" w:sz="8" w:space="0" w:color="000000"/>
            </w:tcBorders>
          </w:tcPr>
          <w:p>
            <w:pPr>
              <w:pStyle w:val="TableParagraph"/>
              <w:spacing w:before="128"/>
              <w:ind w:left="60" w:right="31"/>
              <w:jc w:val="center"/>
              <w:rPr>
                <w:sz w:val="24"/>
              </w:rPr>
            </w:pPr>
            <w:r>
              <w:rPr>
                <w:sz w:val="24"/>
              </w:rPr>
              <w:t>72.41</w:t>
            </w:r>
          </w:p>
        </w:tc>
        <w:tc>
          <w:tcPr>
            <w:tcW w:w="1057" w:type="dxa"/>
            <w:tcBorders>
              <w:top w:val="single" w:sz="8" w:space="0" w:color="000000"/>
              <w:left w:val="single" w:sz="8" w:space="0" w:color="000000"/>
            </w:tcBorders>
          </w:tcPr>
          <w:p>
            <w:pPr>
              <w:pStyle w:val="TableParagraph"/>
              <w:spacing w:before="128"/>
              <w:ind w:left="77" w:right="43"/>
              <w:jc w:val="center"/>
              <w:rPr>
                <w:sz w:val="24"/>
              </w:rPr>
            </w:pPr>
            <w:r>
              <w:rPr>
                <w:sz w:val="24"/>
              </w:rPr>
              <w:t>83.38</w:t>
            </w:r>
          </w:p>
        </w:tc>
      </w:tr>
    </w:tbl>
    <w:p>
      <w:pPr>
        <w:spacing w:after="0"/>
        <w:jc w:val="center"/>
        <w:rPr>
          <w:sz w:val="24"/>
        </w:rPr>
        <w:sectPr>
          <w:footerReference w:type="default" r:id="rId91"/>
          <w:pgSz w:w="11910" w:h="16840"/>
          <w:pgMar w:footer="1241" w:header="780" w:top="1260" w:bottom="1440" w:left="0" w:right="0"/>
          <w:pgNumType w:start="70"/>
        </w:sectPr>
      </w:pPr>
    </w:p>
    <w:p>
      <w:pPr>
        <w:pStyle w:val="BodyText"/>
        <w:rPr>
          <w:rFonts w:ascii="黑体"/>
          <w:b/>
          <w:sz w:val="12"/>
        </w:rPr>
      </w:pPr>
    </w:p>
    <w:p>
      <w:pPr>
        <w:pStyle w:val="Heading2"/>
        <w:tabs>
          <w:tab w:pos="2800" w:val="left" w:leader="none"/>
        </w:tabs>
        <w:spacing w:before="66"/>
        <w:ind w:left="1898" w:firstLine="0"/>
      </w:pPr>
      <w:r>
        <w:rPr/>
        <w:t>附表</w:t>
      </w:r>
      <w:r>
        <w:rPr>
          <w:spacing w:val="-62"/>
        </w:rPr>
        <w:t> </w:t>
      </w:r>
      <w:r>
        <w:rPr/>
        <w:t>2</w:t>
        <w:tab/>
        <w:t>学生反馈表</w:t>
      </w:r>
    </w:p>
    <w:p>
      <w:pPr>
        <w:pStyle w:val="BodyText"/>
        <w:spacing w:before="11"/>
        <w:rPr>
          <w:rFonts w:ascii="黑体"/>
          <w:b/>
          <w:sz w:val="23"/>
        </w:rPr>
      </w:pPr>
    </w:p>
    <w:p>
      <w:pPr>
        <w:spacing w:before="62"/>
        <w:ind w:left="0" w:right="35" w:firstLine="0"/>
        <w:jc w:val="center"/>
        <w:rPr>
          <w:rFonts w:ascii="黑体" w:eastAsia="黑体" w:hint="eastAsia"/>
          <w:b/>
          <w:sz w:val="28"/>
        </w:rPr>
      </w:pPr>
      <w:r>
        <w:rPr>
          <w:rFonts w:ascii="黑体" w:eastAsia="黑体" w:hint="eastAsia"/>
          <w:b/>
          <w:sz w:val="28"/>
        </w:rPr>
        <w:t>学生反馈表</w:t>
      </w:r>
    </w:p>
    <w:p>
      <w:pPr>
        <w:pStyle w:val="BodyText"/>
        <w:spacing w:before="4"/>
        <w:rPr>
          <w:rFonts w:ascii="黑体"/>
          <w:b/>
          <w:sz w:val="10"/>
        </w:rPr>
      </w:pPr>
    </w:p>
    <w:tbl>
      <w:tblPr>
        <w:tblW w:w="0" w:type="auto"/>
        <w:jc w:val="left"/>
        <w:tblInd w:w="14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41"/>
        <w:gridCol w:w="826"/>
        <w:gridCol w:w="412"/>
        <w:gridCol w:w="1924"/>
        <w:gridCol w:w="1375"/>
        <w:gridCol w:w="825"/>
        <w:gridCol w:w="961"/>
        <w:gridCol w:w="961"/>
        <w:gridCol w:w="1032"/>
      </w:tblGrid>
      <w:tr>
        <w:trPr>
          <w:trHeight w:val="624" w:hRule="atLeast"/>
        </w:trPr>
        <w:tc>
          <w:tcPr>
            <w:tcW w:w="741" w:type="dxa"/>
            <w:tcBorders>
              <w:bottom w:val="single" w:sz="8" w:space="0" w:color="000000"/>
              <w:right w:val="single" w:sz="8" w:space="0" w:color="000000"/>
            </w:tcBorders>
          </w:tcPr>
          <w:p>
            <w:pPr>
              <w:pStyle w:val="TableParagraph"/>
              <w:spacing w:line="299" w:lineRule="exact"/>
              <w:ind w:left="128"/>
              <w:rPr>
                <w:rFonts w:ascii="Microsoft JhengHei" w:eastAsia="Microsoft JhengHei" w:hint="eastAsia"/>
                <w:b/>
                <w:sz w:val="24"/>
              </w:rPr>
            </w:pPr>
            <w:r>
              <w:rPr>
                <w:rFonts w:ascii="Microsoft JhengHei" w:eastAsia="Microsoft JhengHei" w:hint="eastAsia"/>
                <w:b/>
                <w:sz w:val="24"/>
              </w:rPr>
              <w:t>院校</w:t>
            </w:r>
          </w:p>
          <w:p>
            <w:pPr>
              <w:pStyle w:val="TableParagraph"/>
              <w:spacing w:line="305" w:lineRule="exact"/>
              <w:ind w:left="128"/>
              <w:rPr>
                <w:rFonts w:ascii="Microsoft JhengHei" w:eastAsia="Microsoft JhengHei" w:hint="eastAsia"/>
                <w:b/>
                <w:sz w:val="24"/>
              </w:rPr>
            </w:pPr>
            <w:r>
              <w:rPr>
                <w:rFonts w:ascii="Microsoft JhengHei" w:eastAsia="Microsoft JhengHei" w:hint="eastAsia"/>
                <w:b/>
                <w:sz w:val="24"/>
              </w:rPr>
              <w:t>代码</w:t>
            </w:r>
          </w:p>
        </w:tc>
        <w:tc>
          <w:tcPr>
            <w:tcW w:w="826" w:type="dxa"/>
            <w:tcBorders>
              <w:left w:val="single" w:sz="8" w:space="0" w:color="000000"/>
              <w:bottom w:val="single" w:sz="8" w:space="0" w:color="000000"/>
              <w:right w:val="single" w:sz="8" w:space="0" w:color="000000"/>
            </w:tcBorders>
          </w:tcPr>
          <w:p>
            <w:pPr>
              <w:pStyle w:val="TableParagraph"/>
              <w:spacing w:line="299" w:lineRule="exact"/>
              <w:ind w:left="176"/>
              <w:rPr>
                <w:rFonts w:ascii="Microsoft JhengHei" w:eastAsia="Microsoft JhengHei" w:hint="eastAsia"/>
                <w:b/>
                <w:sz w:val="24"/>
              </w:rPr>
            </w:pPr>
            <w:r>
              <w:rPr>
                <w:rFonts w:ascii="Microsoft JhengHei" w:eastAsia="Microsoft JhengHei" w:hint="eastAsia"/>
                <w:b/>
                <w:sz w:val="24"/>
              </w:rPr>
              <w:t>院校</w:t>
            </w:r>
          </w:p>
          <w:p>
            <w:pPr>
              <w:pStyle w:val="TableParagraph"/>
              <w:spacing w:line="305" w:lineRule="exact"/>
              <w:ind w:left="176"/>
              <w:rPr>
                <w:rFonts w:ascii="Microsoft JhengHei" w:eastAsia="Microsoft JhengHei" w:hint="eastAsia"/>
                <w:b/>
                <w:sz w:val="24"/>
              </w:rPr>
            </w:pPr>
            <w:r>
              <w:rPr>
                <w:rFonts w:ascii="Microsoft JhengHei" w:eastAsia="Microsoft JhengHei" w:hint="eastAsia"/>
                <w:b/>
                <w:sz w:val="24"/>
              </w:rPr>
              <w:t>名称</w:t>
            </w:r>
          </w:p>
        </w:tc>
        <w:tc>
          <w:tcPr>
            <w:tcW w:w="3711" w:type="dxa"/>
            <w:gridSpan w:val="3"/>
            <w:tcBorders>
              <w:left w:val="single" w:sz="8" w:space="0" w:color="000000"/>
              <w:bottom w:val="single" w:sz="8" w:space="0" w:color="000000"/>
              <w:right w:val="single" w:sz="8" w:space="0" w:color="000000"/>
            </w:tcBorders>
          </w:tcPr>
          <w:p>
            <w:pPr>
              <w:pStyle w:val="TableParagraph"/>
              <w:spacing w:before="78"/>
              <w:ind w:left="1598" w:right="1571"/>
              <w:jc w:val="center"/>
              <w:rPr>
                <w:rFonts w:ascii="Microsoft JhengHei" w:eastAsia="Microsoft JhengHei" w:hint="eastAsia"/>
                <w:b/>
                <w:sz w:val="24"/>
              </w:rPr>
            </w:pPr>
            <w:r>
              <w:rPr>
                <w:rFonts w:ascii="Microsoft JhengHei" w:eastAsia="Microsoft JhengHei" w:hint="eastAsia"/>
                <w:b/>
                <w:sz w:val="24"/>
              </w:rPr>
              <w:t>指标</w:t>
            </w:r>
          </w:p>
        </w:tc>
        <w:tc>
          <w:tcPr>
            <w:tcW w:w="825" w:type="dxa"/>
            <w:tcBorders>
              <w:left w:val="single" w:sz="8" w:space="0" w:color="000000"/>
              <w:bottom w:val="single" w:sz="8" w:space="0" w:color="000000"/>
              <w:right w:val="single" w:sz="8" w:space="0" w:color="000000"/>
            </w:tcBorders>
          </w:tcPr>
          <w:p>
            <w:pPr>
              <w:pStyle w:val="TableParagraph"/>
              <w:spacing w:before="78"/>
              <w:ind w:left="155" w:right="128"/>
              <w:jc w:val="center"/>
              <w:rPr>
                <w:rFonts w:ascii="Microsoft JhengHei" w:eastAsia="Microsoft JhengHei" w:hint="eastAsia"/>
                <w:b/>
                <w:sz w:val="24"/>
              </w:rPr>
            </w:pPr>
            <w:r>
              <w:rPr>
                <w:rFonts w:ascii="Microsoft JhengHei" w:eastAsia="Microsoft JhengHei" w:hint="eastAsia"/>
                <w:b/>
                <w:sz w:val="24"/>
              </w:rPr>
              <w:t>单位</w:t>
            </w:r>
          </w:p>
        </w:tc>
        <w:tc>
          <w:tcPr>
            <w:tcW w:w="961" w:type="dxa"/>
            <w:tcBorders>
              <w:left w:val="single" w:sz="8" w:space="0" w:color="000000"/>
              <w:bottom w:val="single" w:sz="8" w:space="0" w:color="000000"/>
              <w:right w:val="single" w:sz="8" w:space="0" w:color="000000"/>
            </w:tcBorders>
          </w:tcPr>
          <w:p>
            <w:pPr>
              <w:pStyle w:val="TableParagraph"/>
              <w:spacing w:before="78"/>
              <w:ind w:left="123"/>
              <w:rPr>
                <w:rFonts w:ascii="Microsoft JhengHei" w:eastAsia="Microsoft JhengHei" w:hint="eastAsia"/>
                <w:b/>
                <w:sz w:val="24"/>
              </w:rPr>
            </w:pPr>
            <w:r>
              <w:rPr>
                <w:rFonts w:ascii="Microsoft JhengHei" w:eastAsia="Microsoft JhengHei" w:hint="eastAsia"/>
                <w:b/>
                <w:sz w:val="24"/>
              </w:rPr>
              <w:t>一年级</w:t>
            </w:r>
          </w:p>
        </w:tc>
        <w:tc>
          <w:tcPr>
            <w:tcW w:w="961" w:type="dxa"/>
            <w:tcBorders>
              <w:left w:val="single" w:sz="8" w:space="0" w:color="000000"/>
              <w:bottom w:val="single" w:sz="8" w:space="0" w:color="000000"/>
              <w:right w:val="single" w:sz="8" w:space="0" w:color="000000"/>
            </w:tcBorders>
          </w:tcPr>
          <w:p>
            <w:pPr>
              <w:pStyle w:val="TableParagraph"/>
              <w:spacing w:before="78"/>
              <w:ind w:left="125"/>
              <w:rPr>
                <w:rFonts w:ascii="Microsoft JhengHei" w:eastAsia="Microsoft JhengHei" w:hint="eastAsia"/>
                <w:b/>
                <w:sz w:val="24"/>
              </w:rPr>
            </w:pPr>
            <w:r>
              <w:rPr>
                <w:rFonts w:ascii="Microsoft JhengHei" w:eastAsia="Microsoft JhengHei" w:hint="eastAsia"/>
                <w:b/>
                <w:sz w:val="24"/>
              </w:rPr>
              <w:t>二年级</w:t>
            </w:r>
          </w:p>
        </w:tc>
        <w:tc>
          <w:tcPr>
            <w:tcW w:w="1032" w:type="dxa"/>
            <w:tcBorders>
              <w:left w:val="single" w:sz="8" w:space="0" w:color="000000"/>
              <w:bottom w:val="single" w:sz="8" w:space="0" w:color="000000"/>
            </w:tcBorders>
          </w:tcPr>
          <w:p>
            <w:pPr>
              <w:pStyle w:val="TableParagraph"/>
              <w:spacing w:before="78"/>
              <w:ind w:left="280"/>
              <w:rPr>
                <w:rFonts w:ascii="Microsoft JhengHei" w:eastAsia="Microsoft JhengHei" w:hint="eastAsia"/>
                <w:b/>
                <w:sz w:val="24"/>
              </w:rPr>
            </w:pPr>
            <w:r>
              <w:rPr>
                <w:rFonts w:ascii="Microsoft JhengHei" w:eastAsia="Microsoft JhengHei" w:hint="eastAsia"/>
                <w:b/>
                <w:sz w:val="24"/>
              </w:rPr>
              <w:t>备注</w:t>
            </w:r>
          </w:p>
        </w:tc>
      </w:tr>
      <w:tr>
        <w:trPr>
          <w:trHeight w:val="449" w:hRule="atLeast"/>
        </w:trPr>
        <w:tc>
          <w:tcPr>
            <w:tcW w:w="741" w:type="dxa"/>
            <w:vMerge w:val="restart"/>
            <w:tcBorders>
              <w:top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before="1"/>
              <w:rPr>
                <w:rFonts w:ascii="黑体"/>
                <w:b/>
                <w:sz w:val="31"/>
              </w:rPr>
            </w:pPr>
          </w:p>
          <w:p>
            <w:pPr>
              <w:pStyle w:val="TableParagraph"/>
              <w:ind w:left="106" w:right="86"/>
              <w:jc w:val="center"/>
              <w:rPr>
                <w:sz w:val="24"/>
              </w:rPr>
            </w:pPr>
            <w:r>
              <w:rPr>
                <w:sz w:val="24"/>
              </w:rPr>
              <w:t>1304</w:t>
            </w:r>
          </w:p>
          <w:p>
            <w:pPr>
              <w:pStyle w:val="TableParagraph"/>
              <w:spacing w:before="5"/>
              <w:ind w:left="20"/>
              <w:jc w:val="center"/>
              <w:rPr>
                <w:sz w:val="24"/>
              </w:rPr>
            </w:pPr>
            <w:r>
              <w:rPr>
                <w:sz w:val="24"/>
              </w:rPr>
              <w:t>3</w:t>
            </w:r>
          </w:p>
        </w:tc>
        <w:tc>
          <w:tcPr>
            <w:tcW w:w="826" w:type="dxa"/>
            <w:vMerge w:val="restart"/>
            <w:tcBorders>
              <w:top w:val="single" w:sz="8" w:space="0" w:color="000000"/>
              <w:left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before="7"/>
              <w:rPr>
                <w:rFonts w:ascii="黑体"/>
                <w:b/>
                <w:sz w:val="18"/>
              </w:rPr>
            </w:pPr>
          </w:p>
          <w:p>
            <w:pPr>
              <w:pStyle w:val="TableParagraph"/>
              <w:spacing w:line="242" w:lineRule="auto"/>
              <w:ind w:left="176" w:right="148"/>
              <w:jc w:val="both"/>
              <w:rPr>
                <w:sz w:val="24"/>
              </w:rPr>
            </w:pPr>
            <w:r>
              <w:rPr>
                <w:sz w:val="24"/>
              </w:rPr>
              <w:t>湖南化工职业技术学院</w:t>
            </w:r>
          </w:p>
        </w:tc>
        <w:tc>
          <w:tcPr>
            <w:tcW w:w="412" w:type="dxa"/>
            <w:tcBorders>
              <w:top w:val="single" w:sz="8" w:space="0" w:color="000000"/>
              <w:left w:val="single" w:sz="8" w:space="0" w:color="000000"/>
              <w:bottom w:val="single" w:sz="8" w:space="0" w:color="000000"/>
              <w:right w:val="single" w:sz="8" w:space="0" w:color="000000"/>
            </w:tcBorders>
          </w:tcPr>
          <w:p>
            <w:pPr>
              <w:pStyle w:val="TableParagraph"/>
              <w:spacing w:before="72"/>
              <w:ind w:left="28"/>
              <w:jc w:val="center"/>
              <w:rPr>
                <w:sz w:val="24"/>
              </w:rPr>
            </w:pPr>
            <w:r>
              <w:rPr>
                <w:sz w:val="24"/>
              </w:rPr>
              <w:t>1</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3"/>
              <w:ind w:left="112"/>
              <w:rPr>
                <w:sz w:val="24"/>
              </w:rPr>
            </w:pPr>
            <w:r>
              <w:rPr>
                <w:sz w:val="24"/>
              </w:rPr>
              <w:t>全日制在校生人数</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72"/>
              <w:ind w:left="27"/>
              <w:jc w:val="center"/>
              <w:rPr>
                <w:sz w:val="24"/>
              </w:rPr>
            </w:pPr>
            <w:r>
              <w:rPr>
                <w:sz w:val="24"/>
              </w:rPr>
              <w:t>人</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before="3"/>
              <w:ind w:left="243"/>
              <w:rPr>
                <w:sz w:val="24"/>
              </w:rPr>
            </w:pPr>
            <w:r>
              <w:rPr>
                <w:sz w:val="24"/>
              </w:rPr>
              <w:t>4033</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before="3"/>
              <w:ind w:left="245"/>
              <w:rPr>
                <w:sz w:val="24"/>
              </w:rPr>
            </w:pPr>
            <w:r>
              <w:rPr>
                <w:sz w:val="24"/>
              </w:rPr>
              <w:t>3134</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val="restart"/>
            <w:tcBorders>
              <w:top w:val="single" w:sz="8" w:space="0" w:color="000000"/>
              <w:left w:val="single" w:sz="8" w:space="0" w:color="000000"/>
              <w:bottom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spacing w:before="4"/>
              <w:rPr>
                <w:rFonts w:ascii="黑体"/>
                <w:b/>
                <w:sz w:val="31"/>
              </w:rPr>
            </w:pPr>
          </w:p>
          <w:p>
            <w:pPr>
              <w:pStyle w:val="TableParagraph"/>
              <w:spacing w:before="1"/>
              <w:ind w:left="150"/>
              <w:rPr>
                <w:sz w:val="24"/>
              </w:rPr>
            </w:pPr>
            <w:r>
              <w:rPr>
                <w:sz w:val="24"/>
              </w:rPr>
              <w:t>2</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12"/>
              <w:rPr>
                <w:sz w:val="24"/>
              </w:rPr>
            </w:pPr>
            <w:r>
              <w:rPr>
                <w:sz w:val="24"/>
              </w:rPr>
              <w:t>教书育人满意度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9"/>
              <w:ind w:left="27"/>
              <w:jc w:val="center"/>
              <w:rPr>
                <w:sz w:val="24"/>
              </w:rPr>
            </w:pPr>
            <w:r>
              <w:rPr>
                <w:sz w:val="24"/>
              </w:rPr>
              <w:t>—</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0"/>
              <w:rPr>
                <w:rFonts w:ascii="黑体"/>
                <w:b/>
                <w:sz w:val="23"/>
              </w:rPr>
            </w:pPr>
          </w:p>
          <w:p>
            <w:pPr>
              <w:pStyle w:val="TableParagraph"/>
              <w:ind w:left="112"/>
              <w:rPr>
                <w:sz w:val="24"/>
              </w:rPr>
            </w:pPr>
            <w:r>
              <w:rPr>
                <w:sz w:val="24"/>
              </w:rPr>
              <w:t>(1)课堂育人</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3"/>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8"/>
              <w:ind w:left="155" w:right="128"/>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3"/>
              <w:rPr>
                <w:sz w:val="24"/>
              </w:rPr>
            </w:pPr>
            <w:r>
              <w:rPr>
                <w:sz w:val="24"/>
              </w:rPr>
              <w:t>319</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253</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13"/>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after="1"/>
              <w:rPr>
                <w:rFonts w:ascii="黑体"/>
                <w:b/>
                <w:sz w:val="10"/>
              </w:rPr>
            </w:pPr>
          </w:p>
          <w:p>
            <w:pPr>
              <w:pStyle w:val="TableParagraph"/>
              <w:spacing w:line="183" w:lineRule="exact"/>
              <w:ind w:left="361"/>
              <w:rPr>
                <w:rFonts w:ascii="黑体"/>
                <w:sz w:val="18"/>
              </w:rPr>
            </w:pPr>
            <w:r>
              <w:rPr>
                <w:rFonts w:ascii="黑体"/>
                <w:position w:val="-3"/>
                <w:sz w:val="18"/>
              </w:rPr>
              <w:drawing>
                <wp:inline distT="0" distB="0" distL="0" distR="0">
                  <wp:extent cx="66008" cy="116300"/>
                  <wp:effectExtent l="0" t="0" r="0" b="0"/>
                  <wp:docPr id="177" name="image48.png"/>
                  <wp:cNvGraphicFramePr>
                    <a:graphicFrameLocks noChangeAspect="1"/>
                  </wp:cNvGraphicFramePr>
                  <a:graphic>
                    <a:graphicData uri="http://schemas.openxmlformats.org/drawingml/2006/picture">
                      <pic:pic>
                        <pic:nvPicPr>
                          <pic:cNvPr id="178"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83"/>
              <w:rPr>
                <w:sz w:val="24"/>
              </w:rPr>
            </w:pPr>
            <w:r>
              <w:rPr>
                <w:sz w:val="24"/>
              </w:rPr>
              <w:t>97.44</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85"/>
              <w:rPr>
                <w:sz w:val="24"/>
              </w:rPr>
            </w:pPr>
            <w:r>
              <w:rPr>
                <w:sz w:val="24"/>
              </w:rPr>
              <w:t>96.37</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0"/>
              <w:rPr>
                <w:rFonts w:ascii="黑体"/>
                <w:b/>
                <w:sz w:val="23"/>
              </w:rPr>
            </w:pPr>
          </w:p>
          <w:p>
            <w:pPr>
              <w:pStyle w:val="TableParagraph"/>
              <w:ind w:left="112"/>
              <w:rPr>
                <w:sz w:val="24"/>
              </w:rPr>
            </w:pPr>
            <w:r>
              <w:rPr>
                <w:sz w:val="24"/>
              </w:rPr>
              <w:t>(2)课外育人</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3"/>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7"/>
              <w:ind w:left="155" w:right="128"/>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3"/>
              <w:rPr>
                <w:sz w:val="24"/>
              </w:rPr>
            </w:pPr>
            <w:r>
              <w:rPr>
                <w:sz w:val="24"/>
              </w:rPr>
              <w:t>319</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253</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13"/>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after="1"/>
              <w:rPr>
                <w:rFonts w:ascii="黑体"/>
                <w:b/>
                <w:sz w:val="10"/>
              </w:rPr>
            </w:pPr>
          </w:p>
          <w:p>
            <w:pPr>
              <w:pStyle w:val="TableParagraph"/>
              <w:spacing w:line="183" w:lineRule="exact"/>
              <w:ind w:left="361"/>
              <w:rPr>
                <w:rFonts w:ascii="黑体"/>
                <w:sz w:val="18"/>
              </w:rPr>
            </w:pPr>
            <w:r>
              <w:rPr>
                <w:rFonts w:ascii="黑体"/>
                <w:position w:val="-3"/>
                <w:sz w:val="18"/>
              </w:rPr>
              <w:drawing>
                <wp:inline distT="0" distB="0" distL="0" distR="0">
                  <wp:extent cx="66008" cy="116300"/>
                  <wp:effectExtent l="0" t="0" r="0" b="0"/>
                  <wp:docPr id="179" name="image48.png"/>
                  <wp:cNvGraphicFramePr>
                    <a:graphicFrameLocks noChangeAspect="1"/>
                  </wp:cNvGraphicFramePr>
                  <a:graphic>
                    <a:graphicData uri="http://schemas.openxmlformats.org/drawingml/2006/picture">
                      <pic:pic>
                        <pic:nvPicPr>
                          <pic:cNvPr id="180"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83"/>
              <w:rPr>
                <w:sz w:val="24"/>
              </w:rPr>
            </w:pPr>
            <w:r>
              <w:rPr>
                <w:sz w:val="24"/>
              </w:rPr>
              <w:t>98.51</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85"/>
              <w:rPr>
                <w:sz w:val="24"/>
              </w:rPr>
            </w:pPr>
            <w:r>
              <w:rPr>
                <w:sz w:val="24"/>
              </w:rPr>
              <w:t>96.54</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val="restart"/>
            <w:tcBorders>
              <w:top w:val="single" w:sz="8" w:space="0" w:color="000000"/>
              <w:left w:val="single" w:sz="8" w:space="0" w:color="000000"/>
              <w:bottom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before="4"/>
              <w:rPr>
                <w:rFonts w:ascii="黑体"/>
                <w:b/>
                <w:sz w:val="20"/>
              </w:rPr>
            </w:pPr>
          </w:p>
          <w:p>
            <w:pPr>
              <w:pStyle w:val="TableParagraph"/>
              <w:ind w:left="150"/>
              <w:rPr>
                <w:sz w:val="24"/>
              </w:rPr>
            </w:pPr>
            <w:r>
              <w:rPr>
                <w:sz w:val="24"/>
              </w:rPr>
              <w:t>3</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课程教学满意度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7"/>
              <w:ind w:left="27"/>
              <w:jc w:val="center"/>
              <w:rPr>
                <w:sz w:val="24"/>
              </w:rPr>
            </w:pPr>
            <w:r>
              <w:rPr>
                <w:sz w:val="24"/>
              </w:rPr>
              <w:t>—</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rPr>
                <w:rFonts w:ascii="黑体"/>
                <w:b/>
                <w:sz w:val="23"/>
              </w:rPr>
            </w:pPr>
          </w:p>
          <w:p>
            <w:pPr>
              <w:pStyle w:val="TableParagraph"/>
              <w:ind w:left="187"/>
              <w:rPr>
                <w:sz w:val="24"/>
              </w:rPr>
            </w:pPr>
            <w:r>
              <w:rPr>
                <w:sz w:val="24"/>
              </w:rPr>
              <w:t>(1)思想政治课</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13"/>
              <w:rPr>
                <w:sz w:val="24"/>
              </w:rPr>
            </w:pPr>
            <w:r>
              <w:rPr>
                <w:sz w:val="24"/>
              </w:rPr>
              <w:t>调研课次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9"/>
              <w:ind w:left="155" w:right="128"/>
              <w:jc w:val="center"/>
              <w:rPr>
                <w:sz w:val="24"/>
              </w:rPr>
            </w:pPr>
            <w:r>
              <w:rPr>
                <w:sz w:val="24"/>
              </w:rPr>
              <w:t>课次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2" w:right="316"/>
              <w:jc w:val="center"/>
              <w:rPr>
                <w:sz w:val="24"/>
              </w:rPr>
            </w:pPr>
            <w:r>
              <w:rPr>
                <w:sz w:val="24"/>
              </w:rPr>
              <w:t>20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3" w:right="314"/>
              <w:jc w:val="center"/>
              <w:rPr>
                <w:sz w:val="24"/>
              </w:rPr>
            </w:pPr>
            <w:r>
              <w:rPr>
                <w:sz w:val="24"/>
              </w:rPr>
              <w:t>10</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3"/>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12"/>
              <w:rPr>
                <w:rFonts w:ascii="黑体"/>
                <w:b/>
                <w:sz w:val="9"/>
              </w:rPr>
            </w:pPr>
          </w:p>
          <w:p>
            <w:pPr>
              <w:pStyle w:val="TableParagraph"/>
              <w:spacing w:line="183" w:lineRule="exact"/>
              <w:ind w:left="361"/>
              <w:rPr>
                <w:rFonts w:ascii="黑体"/>
                <w:sz w:val="18"/>
              </w:rPr>
            </w:pPr>
            <w:r>
              <w:rPr>
                <w:rFonts w:ascii="黑体"/>
                <w:position w:val="-3"/>
                <w:sz w:val="18"/>
              </w:rPr>
              <w:drawing>
                <wp:inline distT="0" distB="0" distL="0" distR="0">
                  <wp:extent cx="66008" cy="116300"/>
                  <wp:effectExtent l="0" t="0" r="0" b="0"/>
                  <wp:docPr id="181" name="image48.png"/>
                  <wp:cNvGraphicFramePr>
                    <a:graphicFrameLocks noChangeAspect="1"/>
                  </wp:cNvGraphicFramePr>
                  <a:graphic>
                    <a:graphicData uri="http://schemas.openxmlformats.org/drawingml/2006/picture">
                      <pic:pic>
                        <pic:nvPicPr>
                          <pic:cNvPr id="182"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3"/>
              <w:rPr>
                <w:sz w:val="24"/>
              </w:rPr>
            </w:pPr>
            <w:r>
              <w:rPr>
                <w:sz w:val="24"/>
              </w:rPr>
              <w:t>99.12</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98.47</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2" w:lineRule="auto" w:before="148"/>
              <w:ind w:left="316" w:right="96" w:hanging="152"/>
              <w:rPr>
                <w:sz w:val="24"/>
              </w:rPr>
            </w:pPr>
            <w:r>
              <w:rPr>
                <w:spacing w:val="-21"/>
                <w:sz w:val="24"/>
              </w:rPr>
              <w:t>(2</w:t>
            </w:r>
            <w:r>
              <w:rPr>
                <w:spacing w:val="-34"/>
                <w:sz w:val="24"/>
              </w:rPr>
              <w:t>)公共基础课(不</w:t>
            </w:r>
            <w:r>
              <w:rPr>
                <w:spacing w:val="-36"/>
                <w:sz w:val="24"/>
              </w:rPr>
              <w:t>含思想政治课)</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13"/>
              <w:rPr>
                <w:sz w:val="24"/>
              </w:rPr>
            </w:pPr>
            <w:r>
              <w:rPr>
                <w:sz w:val="24"/>
              </w:rPr>
              <w:t>调研课次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9"/>
              <w:ind w:left="155" w:right="128"/>
              <w:jc w:val="center"/>
              <w:rPr>
                <w:sz w:val="24"/>
              </w:rPr>
            </w:pPr>
            <w:r>
              <w:rPr>
                <w:sz w:val="24"/>
              </w:rPr>
              <w:t>课次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2" w:right="316"/>
              <w:jc w:val="center"/>
              <w:rPr>
                <w:sz w:val="24"/>
              </w:rPr>
            </w:pPr>
            <w:r>
              <w:rPr>
                <w:sz w:val="24"/>
              </w:rPr>
              <w:t>20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29"/>
              <w:jc w:val="center"/>
              <w:rPr>
                <w:sz w:val="24"/>
              </w:rPr>
            </w:pPr>
            <w:r>
              <w:rPr>
                <w:sz w:val="24"/>
              </w:rPr>
              <w:t>8</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3"/>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12"/>
              <w:rPr>
                <w:rFonts w:ascii="黑体"/>
                <w:b/>
                <w:sz w:val="9"/>
              </w:rPr>
            </w:pPr>
          </w:p>
          <w:p>
            <w:pPr>
              <w:pStyle w:val="TableParagraph"/>
              <w:spacing w:line="183" w:lineRule="exact"/>
              <w:ind w:left="361"/>
              <w:rPr>
                <w:rFonts w:ascii="黑体"/>
                <w:sz w:val="18"/>
              </w:rPr>
            </w:pPr>
            <w:r>
              <w:rPr>
                <w:rFonts w:ascii="黑体"/>
                <w:position w:val="-3"/>
                <w:sz w:val="18"/>
              </w:rPr>
              <w:drawing>
                <wp:inline distT="0" distB="0" distL="0" distR="0">
                  <wp:extent cx="66008" cy="116300"/>
                  <wp:effectExtent l="0" t="0" r="0" b="0"/>
                  <wp:docPr id="183" name="image48.png"/>
                  <wp:cNvGraphicFramePr>
                    <a:graphicFrameLocks noChangeAspect="1"/>
                  </wp:cNvGraphicFramePr>
                  <a:graphic>
                    <a:graphicData uri="http://schemas.openxmlformats.org/drawingml/2006/picture">
                      <pic:pic>
                        <pic:nvPicPr>
                          <pic:cNvPr id="184"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3"/>
              <w:rPr>
                <w:sz w:val="24"/>
              </w:rPr>
            </w:pPr>
            <w:r>
              <w:rPr>
                <w:sz w:val="24"/>
              </w:rPr>
              <w:t>98.86</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96.31</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rPr>
                <w:rFonts w:ascii="黑体"/>
                <w:b/>
                <w:sz w:val="23"/>
              </w:rPr>
            </w:pPr>
          </w:p>
          <w:p>
            <w:pPr>
              <w:pStyle w:val="TableParagraph"/>
              <w:ind w:left="187"/>
              <w:rPr>
                <w:sz w:val="24"/>
              </w:rPr>
            </w:pPr>
            <w:r>
              <w:rPr>
                <w:sz w:val="24"/>
              </w:rPr>
              <w:t>(3)专业课教学</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13"/>
              <w:rPr>
                <w:sz w:val="24"/>
              </w:rPr>
            </w:pPr>
            <w:r>
              <w:rPr>
                <w:sz w:val="24"/>
              </w:rPr>
              <w:t>调研课次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9"/>
              <w:ind w:left="155" w:right="128"/>
              <w:jc w:val="center"/>
              <w:rPr>
                <w:sz w:val="24"/>
              </w:rPr>
            </w:pPr>
            <w:r>
              <w:rPr>
                <w:sz w:val="24"/>
              </w:rPr>
              <w:t>课次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2" w:right="316"/>
              <w:jc w:val="center"/>
              <w:rPr>
                <w:sz w:val="24"/>
              </w:rPr>
            </w:pPr>
            <w:r>
              <w:rPr>
                <w:sz w:val="24"/>
              </w:rPr>
              <w:t>15</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3" w:right="314"/>
              <w:jc w:val="center"/>
              <w:rPr>
                <w:sz w:val="24"/>
              </w:rPr>
            </w:pPr>
            <w:r>
              <w:rPr>
                <w:sz w:val="24"/>
              </w:rPr>
              <w:t>30</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3"/>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12"/>
              <w:rPr>
                <w:rFonts w:ascii="黑体"/>
                <w:b/>
                <w:sz w:val="9"/>
              </w:rPr>
            </w:pPr>
          </w:p>
          <w:p>
            <w:pPr>
              <w:pStyle w:val="TableParagraph"/>
              <w:spacing w:line="183" w:lineRule="exact"/>
              <w:ind w:left="361"/>
              <w:rPr>
                <w:rFonts w:ascii="黑体"/>
                <w:sz w:val="18"/>
              </w:rPr>
            </w:pPr>
            <w:r>
              <w:rPr>
                <w:rFonts w:ascii="黑体"/>
                <w:position w:val="-3"/>
                <w:sz w:val="18"/>
              </w:rPr>
              <w:drawing>
                <wp:inline distT="0" distB="0" distL="0" distR="0">
                  <wp:extent cx="66008" cy="116300"/>
                  <wp:effectExtent l="0" t="0" r="0" b="0"/>
                  <wp:docPr id="185" name="image48.png"/>
                  <wp:cNvGraphicFramePr>
                    <a:graphicFrameLocks noChangeAspect="1"/>
                  </wp:cNvGraphicFramePr>
                  <a:graphic>
                    <a:graphicData uri="http://schemas.openxmlformats.org/drawingml/2006/picture">
                      <pic:pic>
                        <pic:nvPicPr>
                          <pic:cNvPr id="186"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3"/>
              <w:rPr>
                <w:sz w:val="24"/>
              </w:rPr>
            </w:pPr>
            <w:r>
              <w:rPr>
                <w:sz w:val="24"/>
              </w:rPr>
              <w:t>96.54</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98.47</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val="restart"/>
            <w:tcBorders>
              <w:top w:val="single" w:sz="8" w:space="0" w:color="000000"/>
              <w:left w:val="single" w:sz="8" w:space="0" w:color="000000"/>
              <w:bottom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before="3"/>
              <w:rPr>
                <w:rFonts w:ascii="黑体"/>
                <w:b/>
                <w:sz w:val="20"/>
              </w:rPr>
            </w:pPr>
          </w:p>
          <w:p>
            <w:pPr>
              <w:pStyle w:val="TableParagraph"/>
              <w:ind w:left="150"/>
              <w:rPr>
                <w:sz w:val="24"/>
              </w:rPr>
            </w:pPr>
            <w:r>
              <w:rPr>
                <w:sz w:val="24"/>
              </w:rPr>
              <w:t>4</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12"/>
              <w:rPr>
                <w:sz w:val="24"/>
              </w:rPr>
            </w:pPr>
            <w:r>
              <w:rPr>
                <w:sz w:val="24"/>
              </w:rPr>
              <w:t>管理和服务工作满意度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9"/>
              <w:ind w:left="27"/>
              <w:jc w:val="center"/>
              <w:rPr>
                <w:sz w:val="24"/>
              </w:rPr>
            </w:pPr>
            <w:r>
              <w:rPr>
                <w:sz w:val="24"/>
              </w:rPr>
              <w:t>—</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0"/>
              <w:rPr>
                <w:rFonts w:ascii="黑体"/>
                <w:b/>
                <w:sz w:val="23"/>
              </w:rPr>
            </w:pPr>
          </w:p>
          <w:p>
            <w:pPr>
              <w:pStyle w:val="TableParagraph"/>
              <w:ind w:left="307"/>
              <w:rPr>
                <w:sz w:val="24"/>
              </w:rPr>
            </w:pPr>
            <w:r>
              <w:rPr>
                <w:sz w:val="24"/>
              </w:rPr>
              <w:t>(1)学生工作</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3"/>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8"/>
              <w:ind w:left="155" w:right="128"/>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3"/>
              <w:rPr>
                <w:sz w:val="24"/>
              </w:rPr>
            </w:pPr>
            <w:r>
              <w:rPr>
                <w:sz w:val="24"/>
              </w:rPr>
              <w:t>200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200</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13"/>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after="1"/>
              <w:rPr>
                <w:rFonts w:ascii="黑体"/>
                <w:b/>
                <w:sz w:val="10"/>
              </w:rPr>
            </w:pPr>
          </w:p>
          <w:p>
            <w:pPr>
              <w:pStyle w:val="TableParagraph"/>
              <w:spacing w:line="183" w:lineRule="exact"/>
              <w:ind w:left="361"/>
              <w:rPr>
                <w:rFonts w:ascii="黑体"/>
                <w:sz w:val="18"/>
              </w:rPr>
            </w:pPr>
            <w:r>
              <w:rPr>
                <w:rFonts w:ascii="黑体"/>
                <w:position w:val="-3"/>
                <w:sz w:val="18"/>
              </w:rPr>
              <w:drawing>
                <wp:inline distT="0" distB="0" distL="0" distR="0">
                  <wp:extent cx="66008" cy="116300"/>
                  <wp:effectExtent l="0" t="0" r="0" b="0"/>
                  <wp:docPr id="187" name="image48.png"/>
                  <wp:cNvGraphicFramePr>
                    <a:graphicFrameLocks noChangeAspect="1"/>
                  </wp:cNvGraphicFramePr>
                  <a:graphic>
                    <a:graphicData uri="http://schemas.openxmlformats.org/drawingml/2006/picture">
                      <pic:pic>
                        <pic:nvPicPr>
                          <pic:cNvPr id="188"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243"/>
              <w:rPr>
                <w:sz w:val="24"/>
              </w:rPr>
            </w:pPr>
            <w:r>
              <w:rPr>
                <w:sz w:val="24"/>
              </w:rPr>
              <w:t>97.5</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245"/>
              <w:rPr>
                <w:sz w:val="24"/>
              </w:rPr>
            </w:pPr>
            <w:r>
              <w:rPr>
                <w:sz w:val="24"/>
              </w:rPr>
              <w:t>96.5</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0"/>
              <w:rPr>
                <w:rFonts w:ascii="黑体"/>
                <w:b/>
                <w:sz w:val="23"/>
              </w:rPr>
            </w:pPr>
          </w:p>
          <w:p>
            <w:pPr>
              <w:pStyle w:val="TableParagraph"/>
              <w:ind w:left="307"/>
              <w:rPr>
                <w:sz w:val="24"/>
              </w:rPr>
            </w:pPr>
            <w:r>
              <w:rPr>
                <w:sz w:val="24"/>
              </w:rPr>
              <w:t>(2)教学管理</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3"/>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7"/>
              <w:ind w:left="155" w:right="128"/>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3"/>
              <w:rPr>
                <w:sz w:val="24"/>
              </w:rPr>
            </w:pPr>
            <w:r>
              <w:rPr>
                <w:sz w:val="24"/>
              </w:rPr>
              <w:t>200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200</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13"/>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after="1"/>
              <w:rPr>
                <w:rFonts w:ascii="黑体"/>
                <w:b/>
                <w:sz w:val="10"/>
              </w:rPr>
            </w:pPr>
          </w:p>
          <w:p>
            <w:pPr>
              <w:pStyle w:val="TableParagraph"/>
              <w:spacing w:line="183" w:lineRule="exact"/>
              <w:ind w:left="361"/>
              <w:rPr>
                <w:rFonts w:ascii="黑体"/>
                <w:sz w:val="18"/>
              </w:rPr>
            </w:pPr>
            <w:r>
              <w:rPr>
                <w:rFonts w:ascii="黑体"/>
                <w:position w:val="-3"/>
                <w:sz w:val="18"/>
              </w:rPr>
              <w:drawing>
                <wp:inline distT="0" distB="0" distL="0" distR="0">
                  <wp:extent cx="66008" cy="116300"/>
                  <wp:effectExtent l="0" t="0" r="0" b="0"/>
                  <wp:docPr id="189" name="image48.png"/>
                  <wp:cNvGraphicFramePr>
                    <a:graphicFrameLocks noChangeAspect="1"/>
                  </wp:cNvGraphicFramePr>
                  <a:graphic>
                    <a:graphicData uri="http://schemas.openxmlformats.org/drawingml/2006/picture">
                      <pic:pic>
                        <pic:nvPicPr>
                          <pic:cNvPr id="190"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2" w:right="316"/>
              <w:jc w:val="center"/>
              <w:rPr>
                <w:sz w:val="24"/>
              </w:rPr>
            </w:pPr>
            <w:r>
              <w:rPr>
                <w:sz w:val="24"/>
              </w:rPr>
              <w:t>98</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3" w:right="314"/>
              <w:jc w:val="center"/>
              <w:rPr>
                <w:sz w:val="24"/>
              </w:rPr>
            </w:pPr>
            <w:r>
              <w:rPr>
                <w:sz w:val="24"/>
              </w:rPr>
              <w:t>98</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0"/>
              <w:rPr>
                <w:rFonts w:ascii="黑体"/>
                <w:b/>
                <w:sz w:val="23"/>
              </w:rPr>
            </w:pPr>
          </w:p>
          <w:p>
            <w:pPr>
              <w:pStyle w:val="TableParagraph"/>
              <w:ind w:left="307"/>
              <w:rPr>
                <w:sz w:val="24"/>
              </w:rPr>
            </w:pPr>
            <w:r>
              <w:rPr>
                <w:sz w:val="24"/>
              </w:rPr>
              <w:t>(3)后勤服务</w:t>
            </w: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3"/>
              <w:rPr>
                <w:sz w:val="24"/>
              </w:rPr>
            </w:pPr>
            <w:r>
              <w:rPr>
                <w:sz w:val="24"/>
              </w:rPr>
              <w:t>调研人次</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7"/>
              <w:ind w:left="155" w:right="128"/>
              <w:jc w:val="center"/>
              <w:rPr>
                <w:sz w:val="24"/>
              </w:rPr>
            </w:pPr>
            <w:r>
              <w:rPr>
                <w:sz w:val="24"/>
              </w:rPr>
              <w:t>人次</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3"/>
              <w:rPr>
                <w:sz w:val="24"/>
              </w:rPr>
            </w:pPr>
            <w:r>
              <w:rPr>
                <w:sz w:val="24"/>
              </w:rPr>
              <w:t>200</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05"/>
              <w:rPr>
                <w:sz w:val="24"/>
              </w:rPr>
            </w:pPr>
            <w:r>
              <w:rPr>
                <w:sz w:val="24"/>
              </w:rPr>
              <w:t>200</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bottom w:val="single" w:sz="8" w:space="0" w:color="000000"/>
              <w:right w:val="single" w:sz="8" w:space="0" w:color="000000"/>
            </w:tcBorders>
          </w:tcPr>
          <w:p>
            <w:pPr>
              <w:rPr>
                <w:sz w:val="2"/>
                <w:szCs w:val="2"/>
              </w:rPr>
            </w:pPr>
          </w:p>
        </w:tc>
        <w:tc>
          <w:tcPr>
            <w:tcW w:w="1924" w:type="dxa"/>
            <w:vMerge/>
            <w:tcBorders>
              <w:top w:val="nil"/>
              <w:left w:val="single" w:sz="8" w:space="0" w:color="000000"/>
              <w:bottom w:val="single" w:sz="8" w:space="0" w:color="000000"/>
              <w:right w:val="single" w:sz="8" w:space="0" w:color="000000"/>
            </w:tcBorders>
          </w:tcPr>
          <w:p>
            <w:pPr>
              <w:rPr>
                <w:sz w:val="2"/>
                <w:szCs w:val="2"/>
              </w:rPr>
            </w:pPr>
          </w:p>
        </w:tc>
        <w:tc>
          <w:tcPr>
            <w:tcW w:w="1375"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13"/>
              <w:rPr>
                <w:sz w:val="24"/>
              </w:rPr>
            </w:pPr>
            <w:r>
              <w:rPr>
                <w:sz w:val="24"/>
              </w:rPr>
              <w:t>满意度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after="1"/>
              <w:rPr>
                <w:rFonts w:ascii="黑体"/>
                <w:b/>
                <w:sz w:val="10"/>
              </w:rPr>
            </w:pPr>
          </w:p>
          <w:p>
            <w:pPr>
              <w:pStyle w:val="TableParagraph"/>
              <w:spacing w:line="183" w:lineRule="exact"/>
              <w:ind w:left="361"/>
              <w:rPr>
                <w:rFonts w:ascii="黑体"/>
                <w:sz w:val="18"/>
              </w:rPr>
            </w:pPr>
            <w:r>
              <w:rPr>
                <w:rFonts w:ascii="黑体"/>
                <w:position w:val="-3"/>
                <w:sz w:val="18"/>
              </w:rPr>
              <w:drawing>
                <wp:inline distT="0" distB="0" distL="0" distR="0">
                  <wp:extent cx="66008" cy="116300"/>
                  <wp:effectExtent l="0" t="0" r="0" b="0"/>
                  <wp:docPr id="191" name="image48.png"/>
                  <wp:cNvGraphicFramePr>
                    <a:graphicFrameLocks noChangeAspect="1"/>
                  </wp:cNvGraphicFramePr>
                  <a:graphic>
                    <a:graphicData uri="http://schemas.openxmlformats.org/drawingml/2006/picture">
                      <pic:pic>
                        <pic:nvPicPr>
                          <pic:cNvPr id="192" name="image48.png"/>
                          <pic:cNvPicPr/>
                        </pic:nvPicPr>
                        <pic:blipFill>
                          <a:blip r:embed="rId60" cstate="print"/>
                          <a:stretch>
                            <a:fillRect/>
                          </a:stretch>
                        </pic:blipFill>
                        <pic:spPr>
                          <a:xfrm>
                            <a:off x="0" y="0"/>
                            <a:ext cx="66008" cy="116300"/>
                          </a:xfrm>
                          <a:prstGeom prst="rect">
                            <a:avLst/>
                          </a:prstGeom>
                        </pic:spPr>
                      </pic:pic>
                    </a:graphicData>
                  </a:graphic>
                </wp:inline>
              </w:drawing>
            </w:r>
            <w:r>
              <w:rPr>
                <w:rFonts w:ascii="黑体"/>
                <w:position w:val="-3"/>
                <w:sz w:val="18"/>
              </w:rPr>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2" w:right="316"/>
              <w:jc w:val="center"/>
              <w:rPr>
                <w:sz w:val="24"/>
              </w:rPr>
            </w:pPr>
            <w:r>
              <w:rPr>
                <w:sz w:val="24"/>
              </w:rPr>
              <w:t>95</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43" w:right="314"/>
              <w:jc w:val="center"/>
              <w:rPr>
                <w:sz w:val="24"/>
              </w:rPr>
            </w:pPr>
            <w:r>
              <w:rPr>
                <w:sz w:val="24"/>
              </w:rPr>
              <w:t>93</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tcBorders>
              <w:top w:val="single" w:sz="8" w:space="0" w:color="000000"/>
              <w:left w:val="single" w:sz="8" w:space="0" w:color="000000"/>
              <w:bottom w:val="single" w:sz="8" w:space="0" w:color="000000"/>
              <w:right w:val="single" w:sz="8" w:space="0" w:color="000000"/>
            </w:tcBorders>
          </w:tcPr>
          <w:p>
            <w:pPr>
              <w:pStyle w:val="TableParagraph"/>
              <w:spacing w:before="67"/>
              <w:ind w:left="28"/>
              <w:jc w:val="center"/>
              <w:rPr>
                <w:sz w:val="24"/>
              </w:rPr>
            </w:pPr>
            <w:r>
              <w:rPr>
                <w:sz w:val="24"/>
              </w:rPr>
              <w:t>5</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学生参与志愿者活动时间</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7"/>
              <w:ind w:left="155" w:right="128"/>
              <w:jc w:val="center"/>
              <w:rPr>
                <w:sz w:val="24"/>
              </w:rPr>
            </w:pPr>
            <w:r>
              <w:rPr>
                <w:sz w:val="24"/>
              </w:rPr>
              <w:t>人日</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3"/>
              <w:rPr>
                <w:sz w:val="24"/>
              </w:rPr>
            </w:pPr>
            <w:r>
              <w:rPr>
                <w:sz w:val="24"/>
              </w:rPr>
              <w:t>25684</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85"/>
              <w:rPr>
                <w:sz w:val="24"/>
              </w:rPr>
            </w:pPr>
            <w:r>
              <w:rPr>
                <w:sz w:val="24"/>
              </w:rPr>
              <w:t>28961</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4"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val="restart"/>
            <w:tcBorders>
              <w:top w:val="single" w:sz="8" w:space="0" w:color="000000"/>
              <w:left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spacing w:before="186"/>
              <w:ind w:left="150"/>
              <w:rPr>
                <w:sz w:val="24"/>
              </w:rPr>
            </w:pPr>
            <w:r>
              <w:rPr>
                <w:sz w:val="24"/>
              </w:rPr>
              <w:t>6</w:t>
            </w: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12"/>
              <w:rPr>
                <w:sz w:val="24"/>
              </w:rPr>
            </w:pPr>
            <w:r>
              <w:rPr>
                <w:sz w:val="24"/>
              </w:rPr>
              <w:t>学生社团参与度</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9"/>
              <w:ind w:left="27"/>
              <w:jc w:val="center"/>
              <w:rPr>
                <w:sz w:val="24"/>
              </w:rPr>
            </w:pPr>
            <w:r>
              <w:rPr>
                <w:sz w:val="24"/>
              </w:rPr>
              <w:t>—</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443"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right w:val="single" w:sz="8" w:space="0" w:color="000000"/>
            </w:tcBorders>
          </w:tcPr>
          <w:p>
            <w:pPr>
              <w:rPr>
                <w:sz w:val="2"/>
                <w:szCs w:val="2"/>
              </w:rPr>
            </w:pPr>
          </w:p>
        </w:tc>
        <w:tc>
          <w:tcPr>
            <w:tcW w:w="3299" w:type="dxa"/>
            <w:gridSpan w:val="2"/>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112"/>
              <w:rPr>
                <w:sz w:val="24"/>
              </w:rPr>
            </w:pPr>
            <w:r>
              <w:rPr>
                <w:sz w:val="24"/>
              </w:rPr>
              <w:t>(1)学生社团数</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before="67"/>
              <w:ind w:left="27"/>
              <w:jc w:val="center"/>
              <w:rPr>
                <w:sz w:val="24"/>
              </w:rPr>
            </w:pPr>
            <w:r>
              <w:rPr>
                <w:sz w:val="24"/>
              </w:rPr>
              <w:t>个</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2" w:right="316"/>
              <w:jc w:val="center"/>
              <w:rPr>
                <w:sz w:val="24"/>
              </w:rPr>
            </w:pPr>
            <w:r>
              <w:rPr>
                <w:sz w:val="24"/>
              </w:rPr>
              <w:t>47</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43" w:right="314"/>
              <w:jc w:val="center"/>
              <w:rPr>
                <w:sz w:val="24"/>
              </w:rPr>
            </w:pPr>
            <w:r>
              <w:rPr>
                <w:sz w:val="24"/>
              </w:rPr>
              <w:t>47</w:t>
            </w:r>
          </w:p>
        </w:tc>
        <w:tc>
          <w:tcPr>
            <w:tcW w:w="1032"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967" w:hRule="atLeast"/>
        </w:trPr>
        <w:tc>
          <w:tcPr>
            <w:tcW w:w="741" w:type="dxa"/>
            <w:vMerge/>
            <w:tcBorders>
              <w:top w:val="nil"/>
              <w:right w:val="single" w:sz="8" w:space="0" w:color="000000"/>
            </w:tcBorders>
          </w:tcPr>
          <w:p>
            <w:pPr>
              <w:rPr>
                <w:sz w:val="2"/>
                <w:szCs w:val="2"/>
              </w:rPr>
            </w:pPr>
          </w:p>
        </w:tc>
        <w:tc>
          <w:tcPr>
            <w:tcW w:w="826" w:type="dxa"/>
            <w:vMerge/>
            <w:tcBorders>
              <w:top w:val="nil"/>
              <w:left w:val="single" w:sz="8" w:space="0" w:color="000000"/>
              <w:right w:val="single" w:sz="8" w:space="0" w:color="000000"/>
            </w:tcBorders>
          </w:tcPr>
          <w:p>
            <w:pPr>
              <w:rPr>
                <w:sz w:val="2"/>
                <w:szCs w:val="2"/>
              </w:rPr>
            </w:pPr>
          </w:p>
        </w:tc>
        <w:tc>
          <w:tcPr>
            <w:tcW w:w="412" w:type="dxa"/>
            <w:vMerge/>
            <w:tcBorders>
              <w:top w:val="nil"/>
              <w:left w:val="single" w:sz="8" w:space="0" w:color="000000"/>
              <w:right w:val="single" w:sz="8" w:space="0" w:color="000000"/>
            </w:tcBorders>
          </w:tcPr>
          <w:p>
            <w:pPr>
              <w:rPr>
                <w:sz w:val="2"/>
                <w:szCs w:val="2"/>
              </w:rPr>
            </w:pPr>
          </w:p>
        </w:tc>
        <w:tc>
          <w:tcPr>
            <w:tcW w:w="3299" w:type="dxa"/>
            <w:gridSpan w:val="2"/>
            <w:tcBorders>
              <w:top w:val="single" w:sz="8" w:space="0" w:color="000000"/>
              <w:left w:val="single" w:sz="8" w:space="0" w:color="000000"/>
              <w:right w:val="single" w:sz="8" w:space="0" w:color="000000"/>
            </w:tcBorders>
          </w:tcPr>
          <w:p>
            <w:pPr>
              <w:pStyle w:val="TableParagraph"/>
              <w:spacing w:before="7"/>
              <w:rPr>
                <w:rFonts w:ascii="黑体"/>
                <w:b/>
                <w:sz w:val="25"/>
              </w:rPr>
            </w:pPr>
          </w:p>
          <w:p>
            <w:pPr>
              <w:pStyle w:val="TableParagraph"/>
              <w:spacing w:before="1"/>
              <w:ind w:left="273"/>
              <w:rPr>
                <w:sz w:val="24"/>
              </w:rPr>
            </w:pPr>
            <w:r>
              <w:rPr>
                <w:sz w:val="24"/>
              </w:rPr>
              <w:t>(2)参与各社团的学生人数</w:t>
            </w:r>
          </w:p>
        </w:tc>
        <w:tc>
          <w:tcPr>
            <w:tcW w:w="825" w:type="dxa"/>
            <w:tcBorders>
              <w:top w:val="single" w:sz="8" w:space="0" w:color="000000"/>
              <w:left w:val="single" w:sz="8" w:space="0" w:color="000000"/>
              <w:right w:val="single" w:sz="8" w:space="0" w:color="000000"/>
            </w:tcBorders>
          </w:tcPr>
          <w:p>
            <w:pPr>
              <w:pStyle w:val="TableParagraph"/>
              <w:spacing w:before="7"/>
              <w:rPr>
                <w:rFonts w:ascii="黑体"/>
                <w:b/>
                <w:sz w:val="25"/>
              </w:rPr>
            </w:pPr>
          </w:p>
          <w:p>
            <w:pPr>
              <w:pStyle w:val="TableParagraph"/>
              <w:spacing w:before="1"/>
              <w:ind w:left="27"/>
              <w:jc w:val="center"/>
              <w:rPr>
                <w:sz w:val="24"/>
              </w:rPr>
            </w:pPr>
            <w:r>
              <w:rPr>
                <w:sz w:val="24"/>
              </w:rPr>
              <w:t>人</w:t>
            </w:r>
          </w:p>
        </w:tc>
        <w:tc>
          <w:tcPr>
            <w:tcW w:w="961" w:type="dxa"/>
            <w:tcBorders>
              <w:top w:val="single" w:sz="8" w:space="0" w:color="000000"/>
              <w:left w:val="single" w:sz="8" w:space="0" w:color="000000"/>
              <w:right w:val="single" w:sz="8" w:space="0" w:color="000000"/>
            </w:tcBorders>
          </w:tcPr>
          <w:p>
            <w:pPr>
              <w:pStyle w:val="TableParagraph"/>
              <w:spacing w:before="7"/>
              <w:rPr>
                <w:rFonts w:ascii="黑体"/>
                <w:b/>
                <w:sz w:val="25"/>
              </w:rPr>
            </w:pPr>
          </w:p>
          <w:p>
            <w:pPr>
              <w:pStyle w:val="TableParagraph"/>
              <w:spacing w:before="1"/>
              <w:ind w:left="243"/>
              <w:rPr>
                <w:sz w:val="24"/>
              </w:rPr>
            </w:pPr>
            <w:r>
              <w:rPr>
                <w:sz w:val="24"/>
              </w:rPr>
              <w:t>3355</w:t>
            </w:r>
          </w:p>
        </w:tc>
        <w:tc>
          <w:tcPr>
            <w:tcW w:w="961" w:type="dxa"/>
            <w:tcBorders>
              <w:top w:val="single" w:sz="8" w:space="0" w:color="000000"/>
              <w:left w:val="single" w:sz="8" w:space="0" w:color="000000"/>
              <w:right w:val="single" w:sz="8" w:space="0" w:color="000000"/>
            </w:tcBorders>
          </w:tcPr>
          <w:p>
            <w:pPr>
              <w:pStyle w:val="TableParagraph"/>
              <w:spacing w:before="7"/>
              <w:rPr>
                <w:rFonts w:ascii="黑体"/>
                <w:b/>
                <w:sz w:val="25"/>
              </w:rPr>
            </w:pPr>
          </w:p>
          <w:p>
            <w:pPr>
              <w:pStyle w:val="TableParagraph"/>
              <w:spacing w:before="1"/>
              <w:ind w:left="245"/>
              <w:rPr>
                <w:sz w:val="24"/>
              </w:rPr>
            </w:pPr>
            <w:r>
              <w:rPr>
                <w:sz w:val="24"/>
              </w:rPr>
              <w:t>2583</w:t>
            </w:r>
          </w:p>
        </w:tc>
        <w:tc>
          <w:tcPr>
            <w:tcW w:w="1032" w:type="dxa"/>
            <w:tcBorders>
              <w:top w:val="single" w:sz="8" w:space="0" w:color="000000"/>
              <w:left w:val="single" w:sz="8" w:space="0" w:color="000000"/>
            </w:tcBorders>
          </w:tcPr>
          <w:p>
            <w:pPr>
              <w:pStyle w:val="TableParagraph"/>
              <w:spacing w:line="242" w:lineRule="auto"/>
              <w:ind w:left="112" w:right="79"/>
              <w:jc w:val="both"/>
              <w:rPr>
                <w:sz w:val="15"/>
              </w:rPr>
            </w:pPr>
            <w:r>
              <w:rPr>
                <w:spacing w:val="9"/>
                <w:sz w:val="15"/>
              </w:rPr>
              <w:t>指分别参与不同社团活动的人数， </w:t>
            </w:r>
            <w:r>
              <w:rPr>
                <w:spacing w:val="-5"/>
                <w:sz w:val="15"/>
              </w:rPr>
              <w:t>须 逐 一 列</w:t>
            </w:r>
          </w:p>
          <w:p>
            <w:pPr>
              <w:pStyle w:val="TableParagraph"/>
              <w:spacing w:line="174" w:lineRule="exact"/>
              <w:ind w:left="112"/>
              <w:rPr>
                <w:sz w:val="15"/>
              </w:rPr>
            </w:pPr>
            <w:r>
              <w:rPr>
                <w:sz w:val="15"/>
              </w:rPr>
              <w:t>出。</w:t>
            </w:r>
          </w:p>
        </w:tc>
      </w:tr>
    </w:tbl>
    <w:p>
      <w:pPr>
        <w:spacing w:after="0" w:line="174" w:lineRule="exact"/>
        <w:rPr>
          <w:sz w:val="15"/>
        </w:rPr>
        <w:sectPr>
          <w:pgSz w:w="11910" w:h="16840"/>
          <w:pgMar w:header="780" w:footer="1241" w:top="1260" w:bottom="1440" w:left="0" w:right="0"/>
        </w:sectPr>
      </w:pPr>
    </w:p>
    <w:p>
      <w:pPr>
        <w:pStyle w:val="BodyText"/>
        <w:rPr>
          <w:rFonts w:ascii="黑体"/>
          <w:b/>
          <w:sz w:val="12"/>
        </w:rPr>
      </w:pPr>
    </w:p>
    <w:p>
      <w:pPr>
        <w:spacing w:before="66"/>
        <w:ind w:left="1418" w:right="0" w:firstLine="0"/>
        <w:jc w:val="left"/>
        <w:rPr>
          <w:b/>
          <w:sz w:val="24"/>
        </w:rPr>
      </w:pPr>
      <w:r>
        <w:rPr>
          <w:b/>
          <w:sz w:val="24"/>
        </w:rPr>
        <w:t>具体人数统计情况为：</w:t>
      </w:r>
    </w:p>
    <w:p>
      <w:pPr>
        <w:pStyle w:val="BodyText"/>
        <w:spacing w:line="364" w:lineRule="auto" w:before="161"/>
        <w:ind w:left="1418" w:right="1333" w:firstLine="480"/>
      </w:pPr>
      <w:r>
        <w:rPr>
          <w:spacing w:val="-2"/>
        </w:rPr>
        <w:t>九黎音协：</w:t>
      </w:r>
      <w:r>
        <w:rPr>
          <w:spacing w:val="-8"/>
        </w:rPr>
        <w:t>222</w:t>
      </w:r>
      <w:r>
        <w:rPr>
          <w:spacing w:val="-12"/>
        </w:rPr>
        <w:t> 人；数学建模协会：</w:t>
      </w:r>
      <w:r>
        <w:rPr>
          <w:spacing w:val="-11"/>
        </w:rPr>
        <w:t>85</w:t>
      </w:r>
      <w:r>
        <w:rPr>
          <w:spacing w:val="-13"/>
        </w:rPr>
        <w:t> 人；跆拳道协会：</w:t>
      </w:r>
      <w:r>
        <w:rPr>
          <w:spacing w:val="-10"/>
        </w:rPr>
        <w:t>77</w:t>
      </w:r>
      <w:r>
        <w:rPr>
          <w:spacing w:val="-15"/>
        </w:rPr>
        <w:t> 人；爱心协会：</w:t>
      </w:r>
      <w:r>
        <w:rPr>
          <w:spacing w:val="-8"/>
        </w:rPr>
        <w:t>154</w:t>
      </w:r>
      <w:r>
        <w:rPr>
          <w:spacing w:val="-24"/>
        </w:rPr>
        <w:t> 人； </w:t>
      </w:r>
      <w:r>
        <w:rPr>
          <w:spacing w:val="-1"/>
        </w:rPr>
        <w:t>崇武协会：</w:t>
      </w:r>
      <w:r>
        <w:rPr>
          <w:spacing w:val="-3"/>
        </w:rPr>
        <w:t>105</w:t>
      </w:r>
      <w:r>
        <w:rPr>
          <w:spacing w:val="-11"/>
        </w:rPr>
        <w:t> 人；风祭协会：</w:t>
      </w:r>
      <w:r>
        <w:rPr>
          <w:spacing w:val="-3"/>
        </w:rPr>
        <w:t>130</w:t>
      </w:r>
      <w:r>
        <w:rPr>
          <w:spacing w:val="-11"/>
        </w:rPr>
        <w:t> 人；跑酷协会：</w:t>
      </w:r>
      <w:r>
        <w:rPr>
          <w:spacing w:val="-3"/>
        </w:rPr>
        <w:t>134</w:t>
      </w:r>
      <w:r>
        <w:rPr>
          <w:spacing w:val="-10"/>
        </w:rPr>
        <w:t> 人；拓绿环保协会：</w:t>
      </w:r>
      <w:r>
        <w:rPr>
          <w:spacing w:val="-3"/>
        </w:rPr>
        <w:t>150</w:t>
      </w:r>
      <w:r>
        <w:rPr>
          <w:spacing w:val="-18"/>
        </w:rPr>
        <w:t> 人；无</w:t>
      </w:r>
      <w:r>
        <w:rPr>
          <w:spacing w:val="-16"/>
        </w:rPr>
        <w:t>人机协会：</w:t>
      </w:r>
      <w:r>
        <w:rPr>
          <w:spacing w:val="-4"/>
        </w:rPr>
        <w:t>108</w:t>
      </w:r>
      <w:r>
        <w:rPr>
          <w:spacing w:val="-10"/>
        </w:rPr>
        <w:t> 人；湘雅书法协会：</w:t>
      </w:r>
      <w:r>
        <w:rPr>
          <w:spacing w:val="-4"/>
        </w:rPr>
        <w:t>76</w:t>
      </w:r>
      <w:r>
        <w:rPr>
          <w:spacing w:val="-11"/>
        </w:rPr>
        <w:t> 人；校辩论队：</w:t>
      </w:r>
      <w:r>
        <w:rPr>
          <w:spacing w:val="-3"/>
        </w:rPr>
        <w:t>120</w:t>
      </w:r>
      <w:r>
        <w:rPr>
          <w:spacing w:val="-10"/>
        </w:rPr>
        <w:t> 人；艺术形象协会：</w:t>
      </w:r>
      <w:r>
        <w:rPr>
          <w:spacing w:val="-4"/>
        </w:rPr>
        <w:t>130</w:t>
      </w:r>
      <w:r>
        <w:rPr>
          <w:spacing w:val="-26"/>
        </w:rPr>
        <w:t> 人； </w:t>
      </w:r>
      <w:r>
        <w:rPr/>
        <w:t>ACE</w:t>
      </w:r>
      <w:r>
        <w:rPr>
          <w:spacing w:val="-11"/>
        </w:rPr>
        <w:t> 网球协会：</w:t>
      </w:r>
      <w:r>
        <w:rPr>
          <w:spacing w:val="-6"/>
        </w:rPr>
        <w:t>101</w:t>
      </w:r>
      <w:r>
        <w:rPr>
          <w:spacing w:val="-10"/>
        </w:rPr>
        <w:t> 人；化工学院辩论队：</w:t>
      </w:r>
      <w:r>
        <w:rPr>
          <w:spacing w:val="-6"/>
        </w:rPr>
        <w:t>152</w:t>
      </w:r>
      <w:r>
        <w:rPr>
          <w:spacing w:val="-22"/>
        </w:rPr>
        <w:t> 人；</w:t>
      </w:r>
      <w:r>
        <w:rPr>
          <w:spacing w:val="-6"/>
        </w:rPr>
        <w:t>CAD</w:t>
      </w:r>
      <w:r>
        <w:rPr>
          <w:spacing w:val="-17"/>
        </w:rPr>
        <w:t> 协会：</w:t>
      </w:r>
      <w:r>
        <w:rPr>
          <w:spacing w:val="-6"/>
        </w:rPr>
        <w:t>135</w:t>
      </w:r>
      <w:r>
        <w:rPr>
          <w:spacing w:val="-12"/>
        </w:rPr>
        <w:t> 人；曳步舞协会：</w:t>
      </w:r>
      <w:r>
        <w:rPr>
          <w:spacing w:val="-6"/>
        </w:rPr>
        <w:t>128 </w:t>
      </w:r>
      <w:r>
        <w:rPr/>
        <w:t>人；苍穹棋社：118</w:t>
      </w:r>
      <w:r>
        <w:rPr>
          <w:spacing w:val="-8"/>
        </w:rPr>
        <w:t> 人；创新创业协会</w:t>
      </w:r>
      <w:r>
        <w:rPr/>
        <w:t>：162</w:t>
      </w:r>
      <w:r>
        <w:rPr>
          <w:spacing w:val="-9"/>
        </w:rPr>
        <w:t> 人；电竞社：</w:t>
      </w:r>
      <w:r>
        <w:rPr/>
        <w:t>149</w:t>
      </w:r>
      <w:r>
        <w:rPr>
          <w:spacing w:val="-9"/>
        </w:rPr>
        <w:t> 人；滑板协会</w:t>
      </w:r>
      <w:r>
        <w:rPr/>
        <w:t>：135</w:t>
      </w:r>
      <w:r>
        <w:rPr>
          <w:spacing w:val="-20"/>
        </w:rPr>
        <w:t> 人； </w:t>
      </w:r>
      <w:r>
        <w:rPr>
          <w:spacing w:val="-17"/>
        </w:rPr>
        <w:t>化工协会：</w:t>
      </w:r>
      <w:r>
        <w:rPr>
          <w:spacing w:val="-4"/>
        </w:rPr>
        <w:t>196</w:t>
      </w:r>
      <w:r>
        <w:rPr>
          <w:spacing w:val="-9"/>
        </w:rPr>
        <w:t> 人；英语百分百协会：</w:t>
      </w:r>
      <w:r>
        <w:rPr>
          <w:spacing w:val="-3"/>
        </w:rPr>
        <w:t>124</w:t>
      </w:r>
      <w:r>
        <w:rPr>
          <w:spacing w:val="-11"/>
        </w:rPr>
        <w:t> 人；化妆品协会：</w:t>
      </w:r>
      <w:r>
        <w:rPr>
          <w:spacing w:val="-3"/>
        </w:rPr>
        <w:t>134</w:t>
      </w:r>
      <w:r>
        <w:rPr>
          <w:spacing w:val="-12"/>
        </w:rPr>
        <w:t> 人；排球协会：</w:t>
      </w:r>
      <w:r>
        <w:rPr>
          <w:spacing w:val="-5"/>
        </w:rPr>
        <w:t>87</w:t>
      </w:r>
      <w:r>
        <w:rPr>
          <w:spacing w:val="-26"/>
        </w:rPr>
        <w:t> 人； </w:t>
      </w:r>
      <w:r>
        <w:rPr/>
        <w:t>霹雳乒协：144</w:t>
      </w:r>
      <w:r>
        <w:rPr>
          <w:spacing w:val="-30"/>
        </w:rPr>
        <w:t> 人</w:t>
      </w:r>
      <w:r>
        <w:rPr/>
        <w:t>；JD</w:t>
      </w:r>
      <w:r>
        <w:rPr>
          <w:spacing w:val="-20"/>
        </w:rPr>
        <w:t> 舞社</w:t>
      </w:r>
      <w:r>
        <w:rPr/>
        <w:t>：121</w:t>
      </w:r>
      <w:r>
        <w:rPr>
          <w:spacing w:val="-8"/>
        </w:rPr>
        <w:t> 人；海韵合唱团</w:t>
      </w:r>
      <w:r>
        <w:rPr/>
        <w:t>：133</w:t>
      </w:r>
      <w:r>
        <w:rPr>
          <w:spacing w:val="-11"/>
        </w:rPr>
        <w:t> 人；话剧社</w:t>
      </w:r>
      <w:r>
        <w:rPr/>
        <w:t>：97</w:t>
      </w:r>
      <w:r>
        <w:rPr>
          <w:spacing w:val="-9"/>
        </w:rPr>
        <w:t> 人；篮球社： 159</w:t>
      </w:r>
      <w:r>
        <w:rPr>
          <w:spacing w:val="-5"/>
        </w:rPr>
        <w:t> 人；窍星手工社：</w:t>
      </w:r>
      <w:r>
        <w:rPr/>
        <w:t>149</w:t>
      </w:r>
      <w:r>
        <w:rPr>
          <w:spacing w:val="-5"/>
        </w:rPr>
        <w:t> 人；斯年国学社：</w:t>
      </w:r>
      <w:r>
        <w:rPr/>
        <w:t>124</w:t>
      </w:r>
      <w:r>
        <w:rPr>
          <w:spacing w:val="-6"/>
        </w:rPr>
        <w:t> 人；田径社：</w:t>
      </w:r>
      <w:r>
        <w:rPr/>
        <w:t>78</w:t>
      </w:r>
      <w:r>
        <w:rPr>
          <w:spacing w:val="-6"/>
        </w:rPr>
        <w:t> 人；演讲协会：</w:t>
      </w:r>
      <w:r>
        <w:rPr/>
        <w:t>159 人；英语俱乐部：149</w:t>
      </w:r>
      <w:r>
        <w:rPr>
          <w:spacing w:val="-8"/>
        </w:rPr>
        <w:t> 人；电商协会</w:t>
      </w:r>
      <w:r>
        <w:rPr/>
        <w:t>：136</w:t>
      </w:r>
      <w:r>
        <w:rPr>
          <w:spacing w:val="-7"/>
        </w:rPr>
        <w:t> 人；商学院辩论队：</w:t>
      </w:r>
      <w:r>
        <w:rPr/>
        <w:t>87</w:t>
      </w:r>
      <w:r>
        <w:rPr>
          <w:spacing w:val="-7"/>
        </w:rPr>
        <w:t> 人；会计协会：</w:t>
      </w:r>
      <w:r>
        <w:rPr/>
        <w:t>183 </w:t>
      </w:r>
      <w:r>
        <w:rPr>
          <w:spacing w:val="-4"/>
        </w:rPr>
        <w:t>人；市场营销协会：56</w:t>
      </w:r>
      <w:r>
        <w:rPr>
          <w:spacing w:val="-11"/>
        </w:rPr>
        <w:t> 人；体舞协会：</w:t>
      </w:r>
      <w:r>
        <w:rPr>
          <w:spacing w:val="-3"/>
        </w:rPr>
        <w:t>138</w:t>
      </w:r>
      <w:r>
        <w:rPr>
          <w:spacing w:val="-12"/>
        </w:rPr>
        <w:t> 人；文学社：</w:t>
      </w:r>
      <w:r>
        <w:rPr>
          <w:spacing w:val="-4"/>
        </w:rPr>
        <w:t>69</w:t>
      </w:r>
      <w:r>
        <w:rPr>
          <w:spacing w:val="-11"/>
        </w:rPr>
        <w:t> 人；造价协会：</w:t>
      </w:r>
      <w:r>
        <w:rPr>
          <w:spacing w:val="-3"/>
        </w:rPr>
        <w:t>148</w:t>
      </w:r>
      <w:r>
        <w:rPr>
          <w:spacing w:val="-18"/>
        </w:rPr>
        <w:t> 人；商</w:t>
      </w:r>
      <w:r>
        <w:rPr>
          <w:spacing w:val="-17"/>
        </w:rPr>
        <w:t>学院主持人协会：</w:t>
      </w:r>
      <w:r>
        <w:rPr>
          <w:spacing w:val="-4"/>
        </w:rPr>
        <w:t>128</w:t>
      </w:r>
      <w:r>
        <w:rPr>
          <w:spacing w:val="-10"/>
        </w:rPr>
        <w:t> 人；羽毛球协会 ：</w:t>
      </w:r>
      <w:r>
        <w:rPr>
          <w:spacing w:val="-3"/>
        </w:rPr>
        <w:t>165</w:t>
      </w:r>
      <w:r>
        <w:rPr>
          <w:spacing w:val="-11"/>
        </w:rPr>
        <w:t> 人；计算机协会：</w:t>
      </w:r>
      <w:r>
        <w:rPr>
          <w:spacing w:val="-3"/>
        </w:rPr>
        <w:t>109</w:t>
      </w:r>
      <w:r>
        <w:rPr>
          <w:spacing w:val="-21"/>
        </w:rPr>
        <w:t> 人；</w:t>
      </w:r>
      <w:r>
        <w:rPr>
          <w:spacing w:val="-3"/>
        </w:rPr>
        <w:t>TRPG</w:t>
      </w:r>
      <w:r>
        <w:rPr>
          <w:spacing w:val="-17"/>
        </w:rPr>
        <w:t> 协会：</w:t>
      </w:r>
      <w:r>
        <w:rPr>
          <w:spacing w:val="-5"/>
        </w:rPr>
        <w:t>87 </w:t>
      </w:r>
      <w:r>
        <w:rPr/>
        <w:t>人；垂钓协会 ：64</w:t>
      </w:r>
      <w:r>
        <w:rPr>
          <w:spacing w:val="-8"/>
        </w:rPr>
        <w:t> 人；海魂篮球社</w:t>
      </w:r>
      <w:r>
        <w:rPr/>
        <w:t>：143</w:t>
      </w:r>
      <w:r>
        <w:rPr>
          <w:spacing w:val="-20"/>
        </w:rPr>
        <w:t> 人。</w:t>
      </w:r>
    </w:p>
    <w:p>
      <w:pPr>
        <w:spacing w:after="0" w:line="364" w:lineRule="auto"/>
        <w:sectPr>
          <w:pgSz w:w="11910" w:h="16840"/>
          <w:pgMar w:header="780" w:footer="1241" w:top="1260" w:bottom="1440" w:left="0" w:right="0"/>
        </w:sectPr>
      </w:pPr>
    </w:p>
    <w:p>
      <w:pPr>
        <w:pStyle w:val="BodyText"/>
        <w:rPr>
          <w:sz w:val="20"/>
        </w:rPr>
      </w:pPr>
    </w:p>
    <w:p>
      <w:pPr>
        <w:pStyle w:val="BodyText"/>
        <w:spacing w:before="6"/>
        <w:rPr>
          <w:sz w:val="28"/>
        </w:rPr>
      </w:pPr>
    </w:p>
    <w:p>
      <w:pPr>
        <w:pStyle w:val="Heading2"/>
        <w:tabs>
          <w:tab w:pos="2800" w:val="left" w:leader="none"/>
        </w:tabs>
        <w:spacing w:before="67"/>
        <w:ind w:left="1898" w:firstLine="0"/>
      </w:pPr>
      <w:bookmarkStart w:name="附表3  资源表" w:id="298"/>
      <w:bookmarkEnd w:id="298"/>
      <w:r>
        <w:rPr>
          <w:b w:val="0"/>
        </w:rPr>
      </w:r>
      <w:bookmarkStart w:name="_bookmark108" w:id="299"/>
      <w:bookmarkEnd w:id="299"/>
      <w:r>
        <w:rPr>
          <w:b w:val="0"/>
        </w:rPr>
      </w:r>
      <w:r>
        <w:rPr/>
        <w:t>附表</w:t>
      </w:r>
      <w:r>
        <w:rPr>
          <w:spacing w:val="-62"/>
        </w:rPr>
        <w:t> </w:t>
      </w:r>
      <w:r>
        <w:rPr/>
        <w:t>3</w:t>
        <w:tab/>
        <w:t>资源表</w:t>
      </w:r>
    </w:p>
    <w:p>
      <w:pPr>
        <w:pStyle w:val="BodyText"/>
        <w:spacing w:before="11"/>
        <w:rPr>
          <w:rFonts w:ascii="黑体"/>
          <w:b/>
          <w:sz w:val="23"/>
        </w:rPr>
      </w:pPr>
    </w:p>
    <w:p>
      <w:pPr>
        <w:tabs>
          <w:tab w:pos="561" w:val="left" w:leader="none"/>
          <w:tab w:pos="1123" w:val="left" w:leader="none"/>
        </w:tabs>
        <w:spacing w:before="62"/>
        <w:ind w:left="0" w:right="35" w:firstLine="0"/>
        <w:jc w:val="center"/>
        <w:rPr>
          <w:rFonts w:ascii="黑体" w:eastAsia="黑体" w:hint="eastAsia"/>
          <w:b/>
          <w:sz w:val="28"/>
        </w:rPr>
      </w:pPr>
      <w:r>
        <w:rPr>
          <w:rFonts w:ascii="黑体" w:eastAsia="黑体" w:hint="eastAsia"/>
          <w:b/>
          <w:sz w:val="28"/>
        </w:rPr>
        <w:t>资</w:t>
        <w:tab/>
        <w:t>源</w:t>
        <w:tab/>
        <w:t>表</w:t>
      </w:r>
    </w:p>
    <w:p>
      <w:pPr>
        <w:pStyle w:val="BodyText"/>
        <w:spacing w:before="4"/>
        <w:rPr>
          <w:rFonts w:ascii="黑体"/>
          <w:b/>
          <w:sz w:val="10"/>
        </w:rPr>
      </w:pPr>
    </w:p>
    <w:tbl>
      <w:tblPr>
        <w:tblW w:w="0" w:type="auto"/>
        <w:jc w:val="left"/>
        <w:tblInd w:w="16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9"/>
        <w:gridCol w:w="854"/>
        <w:gridCol w:w="424"/>
        <w:gridCol w:w="3548"/>
        <w:gridCol w:w="993"/>
        <w:gridCol w:w="993"/>
        <w:gridCol w:w="993"/>
      </w:tblGrid>
      <w:tr>
        <w:trPr>
          <w:trHeight w:val="624" w:hRule="atLeast"/>
        </w:trPr>
        <w:tc>
          <w:tcPr>
            <w:tcW w:w="819" w:type="dxa"/>
            <w:tcBorders>
              <w:bottom w:val="single" w:sz="8" w:space="0" w:color="000000"/>
              <w:right w:val="single" w:sz="8" w:space="0" w:color="000000"/>
            </w:tcBorders>
          </w:tcPr>
          <w:p>
            <w:pPr>
              <w:pStyle w:val="TableParagraph"/>
              <w:spacing w:before="1"/>
              <w:ind w:left="108"/>
              <w:rPr>
                <w:rFonts w:ascii="仿宋" w:eastAsia="仿宋" w:hint="eastAsia"/>
                <w:b/>
                <w:sz w:val="24"/>
              </w:rPr>
            </w:pPr>
            <w:r>
              <w:rPr>
                <w:rFonts w:ascii="仿宋" w:eastAsia="仿宋" w:hint="eastAsia"/>
                <w:b/>
                <w:w w:val="95"/>
                <w:sz w:val="24"/>
              </w:rPr>
              <w:t>院校</w:t>
            </w:r>
          </w:p>
          <w:p>
            <w:pPr>
              <w:pStyle w:val="TableParagraph"/>
              <w:spacing w:line="290" w:lineRule="exact" w:before="5"/>
              <w:ind w:left="108"/>
              <w:rPr>
                <w:rFonts w:ascii="仿宋" w:eastAsia="仿宋" w:hint="eastAsia"/>
                <w:b/>
                <w:sz w:val="24"/>
              </w:rPr>
            </w:pPr>
            <w:r>
              <w:rPr>
                <w:rFonts w:ascii="仿宋" w:eastAsia="仿宋" w:hint="eastAsia"/>
                <w:b/>
                <w:w w:val="95"/>
                <w:sz w:val="24"/>
              </w:rPr>
              <w:t>代码</w:t>
            </w:r>
          </w:p>
        </w:tc>
        <w:tc>
          <w:tcPr>
            <w:tcW w:w="854" w:type="dxa"/>
            <w:tcBorders>
              <w:left w:val="single" w:sz="8" w:space="0" w:color="000000"/>
              <w:bottom w:val="single" w:sz="8" w:space="0" w:color="000000"/>
              <w:right w:val="single" w:sz="8" w:space="0" w:color="000000"/>
            </w:tcBorders>
          </w:tcPr>
          <w:p>
            <w:pPr>
              <w:pStyle w:val="TableParagraph"/>
              <w:spacing w:before="1"/>
              <w:ind w:left="112"/>
              <w:rPr>
                <w:rFonts w:ascii="仿宋" w:eastAsia="仿宋" w:hint="eastAsia"/>
                <w:b/>
                <w:sz w:val="24"/>
              </w:rPr>
            </w:pPr>
            <w:r>
              <w:rPr>
                <w:rFonts w:ascii="仿宋" w:eastAsia="仿宋" w:hint="eastAsia"/>
                <w:b/>
                <w:w w:val="95"/>
                <w:sz w:val="24"/>
              </w:rPr>
              <w:t>院校</w:t>
            </w:r>
          </w:p>
          <w:p>
            <w:pPr>
              <w:pStyle w:val="TableParagraph"/>
              <w:spacing w:line="290" w:lineRule="exact" w:before="5"/>
              <w:ind w:left="112"/>
              <w:rPr>
                <w:rFonts w:ascii="仿宋" w:eastAsia="仿宋" w:hint="eastAsia"/>
                <w:b/>
                <w:sz w:val="24"/>
              </w:rPr>
            </w:pPr>
            <w:r>
              <w:rPr>
                <w:rFonts w:ascii="仿宋" w:eastAsia="仿宋" w:hint="eastAsia"/>
                <w:b/>
                <w:w w:val="95"/>
                <w:sz w:val="24"/>
              </w:rPr>
              <w:t>名称</w:t>
            </w:r>
          </w:p>
        </w:tc>
        <w:tc>
          <w:tcPr>
            <w:tcW w:w="3972" w:type="dxa"/>
            <w:gridSpan w:val="2"/>
            <w:tcBorders>
              <w:left w:val="single" w:sz="8" w:space="0" w:color="000000"/>
              <w:bottom w:val="single" w:sz="8" w:space="0" w:color="000000"/>
              <w:right w:val="single" w:sz="8" w:space="0" w:color="000000"/>
            </w:tcBorders>
          </w:tcPr>
          <w:p>
            <w:pPr>
              <w:pStyle w:val="TableParagraph"/>
              <w:spacing w:before="157"/>
              <w:ind w:left="1728" w:right="1701"/>
              <w:jc w:val="center"/>
              <w:rPr>
                <w:rFonts w:ascii="仿宋" w:eastAsia="仿宋" w:hint="eastAsia"/>
                <w:b/>
                <w:sz w:val="24"/>
              </w:rPr>
            </w:pPr>
            <w:r>
              <w:rPr>
                <w:rFonts w:ascii="仿宋" w:eastAsia="仿宋" w:hint="eastAsia"/>
                <w:b/>
                <w:sz w:val="24"/>
              </w:rPr>
              <w:t>指标</w:t>
            </w:r>
          </w:p>
        </w:tc>
        <w:tc>
          <w:tcPr>
            <w:tcW w:w="993" w:type="dxa"/>
            <w:tcBorders>
              <w:left w:val="single" w:sz="8" w:space="0" w:color="000000"/>
              <w:bottom w:val="single" w:sz="8" w:space="0" w:color="000000"/>
              <w:right w:val="single" w:sz="8" w:space="0" w:color="000000"/>
            </w:tcBorders>
          </w:tcPr>
          <w:p>
            <w:pPr>
              <w:pStyle w:val="TableParagraph"/>
              <w:spacing w:before="157"/>
              <w:ind w:left="259"/>
              <w:rPr>
                <w:rFonts w:ascii="仿宋" w:eastAsia="仿宋" w:hint="eastAsia"/>
                <w:b/>
                <w:sz w:val="24"/>
              </w:rPr>
            </w:pPr>
            <w:r>
              <w:rPr>
                <w:rFonts w:ascii="仿宋" w:eastAsia="仿宋" w:hint="eastAsia"/>
                <w:b/>
                <w:sz w:val="24"/>
              </w:rPr>
              <w:t>单位</w:t>
            </w:r>
          </w:p>
        </w:tc>
        <w:tc>
          <w:tcPr>
            <w:tcW w:w="993" w:type="dxa"/>
            <w:tcBorders>
              <w:left w:val="single" w:sz="8" w:space="0" w:color="000000"/>
              <w:bottom w:val="single" w:sz="8" w:space="0" w:color="000000"/>
              <w:right w:val="single" w:sz="8" w:space="0" w:color="000000"/>
            </w:tcBorders>
          </w:tcPr>
          <w:p>
            <w:pPr>
              <w:pStyle w:val="TableParagraph"/>
              <w:spacing w:before="157"/>
              <w:ind w:left="58" w:right="27"/>
              <w:jc w:val="center"/>
              <w:rPr>
                <w:rFonts w:ascii="仿宋" w:eastAsia="仿宋" w:hint="eastAsia"/>
                <w:b/>
                <w:sz w:val="24"/>
              </w:rPr>
            </w:pPr>
            <w:r>
              <w:rPr>
                <w:rFonts w:ascii="仿宋" w:eastAsia="仿宋" w:hint="eastAsia"/>
                <w:b/>
                <w:sz w:val="24"/>
              </w:rPr>
              <w:t>2017 年</w:t>
            </w:r>
          </w:p>
        </w:tc>
        <w:tc>
          <w:tcPr>
            <w:tcW w:w="993" w:type="dxa"/>
            <w:tcBorders>
              <w:left w:val="single" w:sz="8" w:space="0" w:color="000000"/>
              <w:bottom w:val="single" w:sz="8" w:space="0" w:color="000000"/>
            </w:tcBorders>
          </w:tcPr>
          <w:p>
            <w:pPr>
              <w:pStyle w:val="TableParagraph"/>
              <w:spacing w:before="157"/>
              <w:ind w:left="58" w:right="23"/>
              <w:jc w:val="center"/>
              <w:rPr>
                <w:rFonts w:ascii="仿宋" w:eastAsia="仿宋" w:hint="eastAsia"/>
                <w:b/>
                <w:sz w:val="24"/>
              </w:rPr>
            </w:pPr>
            <w:r>
              <w:rPr>
                <w:rFonts w:ascii="仿宋" w:eastAsia="仿宋" w:hint="eastAsia"/>
                <w:b/>
                <w:sz w:val="24"/>
              </w:rPr>
              <w:t>2018 年</w:t>
            </w:r>
          </w:p>
        </w:tc>
      </w:tr>
      <w:tr>
        <w:trPr>
          <w:trHeight w:val="450" w:hRule="atLeast"/>
        </w:trPr>
        <w:tc>
          <w:tcPr>
            <w:tcW w:w="819" w:type="dxa"/>
            <w:vMerge w:val="restart"/>
            <w:tcBorders>
              <w:top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before="4"/>
              <w:rPr>
                <w:rFonts w:ascii="黑体"/>
                <w:b/>
                <w:sz w:val="31"/>
              </w:rPr>
            </w:pPr>
          </w:p>
          <w:p>
            <w:pPr>
              <w:pStyle w:val="TableParagraph"/>
              <w:ind w:left="108"/>
              <w:rPr>
                <w:rFonts w:ascii="仿宋"/>
                <w:sz w:val="24"/>
              </w:rPr>
            </w:pPr>
            <w:r>
              <w:rPr>
                <w:rFonts w:ascii="仿宋"/>
                <w:sz w:val="24"/>
              </w:rPr>
              <w:t>13043</w:t>
            </w:r>
          </w:p>
        </w:tc>
        <w:tc>
          <w:tcPr>
            <w:tcW w:w="854" w:type="dxa"/>
            <w:vMerge w:val="restart"/>
            <w:tcBorders>
              <w:top w:val="single" w:sz="8" w:space="0" w:color="000000"/>
              <w:left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before="8"/>
              <w:rPr>
                <w:rFonts w:ascii="黑体"/>
                <w:b/>
                <w:sz w:val="30"/>
              </w:rPr>
            </w:pPr>
          </w:p>
          <w:p>
            <w:pPr>
              <w:pStyle w:val="TableParagraph"/>
              <w:spacing w:line="242" w:lineRule="auto"/>
              <w:ind w:left="191" w:right="160"/>
              <w:jc w:val="both"/>
              <w:rPr>
                <w:rFonts w:ascii="仿宋" w:eastAsia="仿宋" w:hint="eastAsia"/>
                <w:sz w:val="24"/>
              </w:rPr>
            </w:pPr>
            <w:r>
              <w:rPr>
                <w:rFonts w:ascii="仿宋" w:eastAsia="仿宋" w:hint="eastAsia"/>
                <w:sz w:val="24"/>
              </w:rPr>
              <w:t>湖南化工职业技术学院</w:t>
            </w:r>
          </w:p>
        </w:tc>
        <w:tc>
          <w:tcPr>
            <w:tcW w:w="424" w:type="dxa"/>
            <w:tcBorders>
              <w:top w:val="single" w:sz="8" w:space="0" w:color="000000"/>
              <w:left w:val="single" w:sz="8" w:space="0" w:color="000000"/>
              <w:bottom w:val="single" w:sz="8" w:space="0" w:color="000000"/>
              <w:right w:val="single" w:sz="8" w:space="0" w:color="000000"/>
            </w:tcBorders>
          </w:tcPr>
          <w:p>
            <w:pPr>
              <w:pStyle w:val="TableParagraph"/>
              <w:spacing w:before="73"/>
              <w:ind w:left="28"/>
              <w:jc w:val="center"/>
              <w:rPr>
                <w:rFonts w:ascii="仿宋"/>
                <w:sz w:val="24"/>
              </w:rPr>
            </w:pPr>
            <w:r>
              <w:rPr>
                <w:rFonts w:ascii="仿宋"/>
                <w:sz w:val="24"/>
              </w:rPr>
              <w:t>1</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3"/>
              <w:ind w:left="111"/>
              <w:rPr>
                <w:rFonts w:ascii="仿宋" w:eastAsia="仿宋" w:hint="eastAsia"/>
                <w:sz w:val="24"/>
              </w:rPr>
            </w:pPr>
            <w:r>
              <w:rPr>
                <w:rFonts w:ascii="仿宋" w:eastAsia="仿宋" w:hint="eastAsia"/>
                <w:sz w:val="24"/>
              </w:rPr>
              <w:t>生师比</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3"/>
              <w:ind w:left="25"/>
              <w:jc w:val="center"/>
              <w:rPr>
                <w:rFonts w:ascii="仿宋" w:hAnsi="仿宋"/>
                <w:sz w:val="24"/>
              </w:rPr>
            </w:pPr>
            <w:r>
              <w:rPr>
                <w:rFonts w:ascii="仿宋" w:hAnsi="仿宋"/>
                <w:sz w:val="24"/>
              </w:rPr>
              <w:t>—</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3"/>
              <w:ind w:left="53" w:right="27"/>
              <w:jc w:val="center"/>
              <w:rPr>
                <w:rFonts w:ascii="仿宋"/>
                <w:sz w:val="24"/>
              </w:rPr>
            </w:pPr>
            <w:r>
              <w:rPr>
                <w:rFonts w:ascii="仿宋"/>
                <w:sz w:val="24"/>
              </w:rPr>
              <w:t>15.37</w:t>
            </w:r>
          </w:p>
        </w:tc>
        <w:tc>
          <w:tcPr>
            <w:tcW w:w="993" w:type="dxa"/>
            <w:tcBorders>
              <w:top w:val="single" w:sz="8" w:space="0" w:color="000000"/>
              <w:left w:val="single" w:sz="8" w:space="0" w:color="000000"/>
              <w:bottom w:val="single" w:sz="8" w:space="0" w:color="000000"/>
            </w:tcBorders>
          </w:tcPr>
          <w:p>
            <w:pPr>
              <w:pStyle w:val="TableParagraph"/>
              <w:spacing w:before="73"/>
              <w:ind w:left="55" w:right="23"/>
              <w:jc w:val="center"/>
              <w:rPr>
                <w:rFonts w:ascii="仿宋"/>
                <w:sz w:val="24"/>
              </w:rPr>
            </w:pPr>
            <w:r>
              <w:rPr>
                <w:rFonts w:ascii="仿宋"/>
                <w:sz w:val="24"/>
              </w:rPr>
              <w:t>14.62</w:t>
            </w:r>
          </w:p>
        </w:tc>
      </w:tr>
      <w:tr>
        <w:trPr>
          <w:trHeight w:val="457"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424" w:type="dxa"/>
            <w:tcBorders>
              <w:top w:val="single" w:sz="8" w:space="0" w:color="000000"/>
              <w:left w:val="single" w:sz="8" w:space="0" w:color="000000"/>
              <w:bottom w:val="single" w:sz="8" w:space="0" w:color="000000"/>
              <w:right w:val="single" w:sz="8" w:space="0" w:color="000000"/>
            </w:tcBorders>
          </w:tcPr>
          <w:p>
            <w:pPr>
              <w:pStyle w:val="TableParagraph"/>
              <w:spacing w:before="75"/>
              <w:ind w:left="28"/>
              <w:jc w:val="center"/>
              <w:rPr>
                <w:rFonts w:ascii="仿宋"/>
                <w:sz w:val="24"/>
              </w:rPr>
            </w:pPr>
            <w:r>
              <w:rPr>
                <w:rFonts w:ascii="仿宋"/>
                <w:sz w:val="24"/>
              </w:rPr>
              <w:t>2</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5"/>
              <w:ind w:left="111"/>
              <w:rPr>
                <w:rFonts w:ascii="仿宋" w:eastAsia="仿宋" w:hint="eastAsia"/>
                <w:sz w:val="24"/>
              </w:rPr>
            </w:pPr>
            <w:r>
              <w:rPr>
                <w:rFonts w:ascii="仿宋" w:eastAsia="仿宋" w:hint="eastAsia"/>
                <w:sz w:val="24"/>
              </w:rPr>
              <w:t>双师素质专任教师比例</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5"/>
              <w:ind w:left="25"/>
              <w:jc w:val="center"/>
              <w:rPr>
                <w:rFonts w:ascii="仿宋"/>
                <w:sz w:val="24"/>
              </w:rPr>
            </w:pPr>
            <w:r>
              <w:rPr>
                <w:rFonts w:ascii="仿宋"/>
                <w:sz w:val="24"/>
              </w:rPr>
              <w:t>%</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5"/>
              <w:ind w:left="53" w:right="27"/>
              <w:jc w:val="center"/>
              <w:rPr>
                <w:rFonts w:ascii="仿宋"/>
                <w:sz w:val="24"/>
              </w:rPr>
            </w:pPr>
            <w:r>
              <w:rPr>
                <w:rFonts w:ascii="仿宋"/>
                <w:sz w:val="24"/>
              </w:rPr>
              <w:t>75.13</w:t>
            </w:r>
          </w:p>
        </w:tc>
        <w:tc>
          <w:tcPr>
            <w:tcW w:w="993" w:type="dxa"/>
            <w:tcBorders>
              <w:top w:val="single" w:sz="8" w:space="0" w:color="000000"/>
              <w:left w:val="single" w:sz="8" w:space="0" w:color="000000"/>
              <w:bottom w:val="single" w:sz="8" w:space="0" w:color="000000"/>
            </w:tcBorders>
          </w:tcPr>
          <w:p>
            <w:pPr>
              <w:pStyle w:val="TableParagraph"/>
              <w:spacing w:before="75"/>
              <w:ind w:left="55" w:right="23"/>
              <w:jc w:val="center"/>
              <w:rPr>
                <w:rFonts w:ascii="仿宋"/>
                <w:sz w:val="24"/>
              </w:rPr>
            </w:pPr>
            <w:r>
              <w:rPr>
                <w:rFonts w:ascii="仿宋"/>
                <w:sz w:val="24"/>
              </w:rPr>
              <w:t>81.68</w:t>
            </w:r>
          </w:p>
        </w:tc>
      </w:tr>
      <w:tr>
        <w:trPr>
          <w:trHeight w:val="457"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424" w:type="dxa"/>
            <w:tcBorders>
              <w:top w:val="single" w:sz="8" w:space="0" w:color="000000"/>
              <w:left w:val="single" w:sz="8" w:space="0" w:color="000000"/>
              <w:bottom w:val="single" w:sz="8" w:space="0" w:color="000000"/>
              <w:right w:val="single" w:sz="8" w:space="0" w:color="000000"/>
            </w:tcBorders>
          </w:tcPr>
          <w:p>
            <w:pPr>
              <w:pStyle w:val="TableParagraph"/>
              <w:spacing w:before="74"/>
              <w:ind w:left="28"/>
              <w:jc w:val="center"/>
              <w:rPr>
                <w:rFonts w:ascii="仿宋"/>
                <w:sz w:val="24"/>
              </w:rPr>
            </w:pPr>
            <w:r>
              <w:rPr>
                <w:rFonts w:ascii="仿宋"/>
                <w:sz w:val="24"/>
              </w:rPr>
              <w:t>3</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4"/>
              <w:ind w:left="111"/>
              <w:rPr>
                <w:rFonts w:ascii="仿宋" w:eastAsia="仿宋" w:hint="eastAsia"/>
                <w:sz w:val="24"/>
              </w:rPr>
            </w:pPr>
            <w:r>
              <w:rPr>
                <w:rFonts w:ascii="仿宋" w:eastAsia="仿宋" w:hint="eastAsia"/>
                <w:sz w:val="24"/>
              </w:rPr>
              <w:t>生均教学科研仪器设备值</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4"/>
              <w:ind w:left="199"/>
              <w:rPr>
                <w:rFonts w:ascii="仿宋" w:eastAsia="仿宋" w:hint="eastAsia"/>
                <w:sz w:val="24"/>
              </w:rPr>
            </w:pPr>
            <w:r>
              <w:rPr>
                <w:rFonts w:ascii="仿宋" w:eastAsia="仿宋" w:hint="eastAsia"/>
                <w:sz w:val="24"/>
              </w:rPr>
              <w:t>元/生</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4"/>
              <w:ind w:left="53" w:right="27"/>
              <w:jc w:val="center"/>
              <w:rPr>
                <w:rFonts w:ascii="仿宋"/>
                <w:sz w:val="24"/>
              </w:rPr>
            </w:pPr>
            <w:r>
              <w:rPr>
                <w:rFonts w:ascii="仿宋"/>
                <w:sz w:val="24"/>
              </w:rPr>
              <w:t>8025.9</w:t>
            </w:r>
          </w:p>
        </w:tc>
        <w:tc>
          <w:tcPr>
            <w:tcW w:w="993" w:type="dxa"/>
            <w:tcBorders>
              <w:top w:val="single" w:sz="8" w:space="0" w:color="000000"/>
              <w:left w:val="single" w:sz="8" w:space="0" w:color="000000"/>
              <w:bottom w:val="single" w:sz="8" w:space="0" w:color="000000"/>
            </w:tcBorders>
          </w:tcPr>
          <w:p>
            <w:pPr>
              <w:pStyle w:val="TableParagraph"/>
              <w:spacing w:before="74"/>
              <w:ind w:left="55" w:right="23"/>
              <w:jc w:val="center"/>
              <w:rPr>
                <w:rFonts w:ascii="仿宋"/>
                <w:sz w:val="24"/>
              </w:rPr>
            </w:pPr>
            <w:r>
              <w:rPr>
                <w:rFonts w:ascii="仿宋"/>
                <w:sz w:val="24"/>
              </w:rPr>
              <w:t>8414.4</w:t>
            </w:r>
          </w:p>
        </w:tc>
      </w:tr>
      <w:tr>
        <w:trPr>
          <w:trHeight w:val="614"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424" w:type="dxa"/>
            <w:tcBorders>
              <w:top w:val="single" w:sz="8" w:space="0" w:color="000000"/>
              <w:left w:val="single" w:sz="8" w:space="0" w:color="000000"/>
              <w:bottom w:val="single" w:sz="8" w:space="0" w:color="000000"/>
              <w:right w:val="single" w:sz="8" w:space="0" w:color="000000"/>
            </w:tcBorders>
          </w:tcPr>
          <w:p>
            <w:pPr>
              <w:pStyle w:val="TableParagraph"/>
              <w:spacing w:before="152"/>
              <w:ind w:left="28"/>
              <w:jc w:val="center"/>
              <w:rPr>
                <w:rFonts w:ascii="仿宋"/>
                <w:sz w:val="24"/>
              </w:rPr>
            </w:pPr>
            <w:r>
              <w:rPr>
                <w:rFonts w:ascii="仿宋"/>
                <w:sz w:val="24"/>
              </w:rPr>
              <w:t>4</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111"/>
              <w:rPr>
                <w:rFonts w:ascii="仿宋" w:eastAsia="仿宋" w:hint="eastAsia"/>
                <w:sz w:val="24"/>
              </w:rPr>
            </w:pPr>
            <w:r>
              <w:rPr>
                <w:rFonts w:ascii="仿宋" w:eastAsia="仿宋" w:hint="eastAsia"/>
                <w:sz w:val="24"/>
              </w:rPr>
              <w:t>生均教学及辅助、行政办公用房</w:t>
            </w:r>
          </w:p>
          <w:p>
            <w:pPr>
              <w:pStyle w:val="TableParagraph"/>
              <w:spacing w:line="285" w:lineRule="exact" w:before="4"/>
              <w:ind w:left="111"/>
              <w:rPr>
                <w:rFonts w:ascii="仿宋" w:eastAsia="仿宋" w:hint="eastAsia"/>
                <w:sz w:val="24"/>
              </w:rPr>
            </w:pPr>
            <w:r>
              <w:rPr>
                <w:rFonts w:ascii="仿宋" w:eastAsia="仿宋" w:hint="eastAsia"/>
                <w:sz w:val="24"/>
              </w:rPr>
              <w:t>面积</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2"/>
              <w:ind w:left="230"/>
              <w:rPr>
                <w:rFonts w:ascii="仿宋" w:eastAsia="仿宋" w:hint="eastAsia"/>
                <w:sz w:val="24"/>
              </w:rPr>
            </w:pPr>
            <w:r>
              <w:rPr>
                <w:rFonts w:ascii="仿宋" w:eastAsia="仿宋" w:hint="eastAsia"/>
                <w:sz w:val="24"/>
              </w:rPr>
              <w:t>m</w:t>
            </w:r>
            <w:r>
              <w:rPr>
                <w:rFonts w:ascii="仿宋" w:eastAsia="仿宋" w:hint="eastAsia"/>
                <w:position w:val="12"/>
                <w:sz w:val="12"/>
              </w:rPr>
              <w:t>2</w:t>
            </w:r>
            <w:r>
              <w:rPr>
                <w:rFonts w:ascii="仿宋" w:eastAsia="仿宋" w:hint="eastAsia"/>
                <w:sz w:val="24"/>
              </w:rPr>
              <w:t>/生</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2"/>
              <w:ind w:left="53" w:right="27"/>
              <w:jc w:val="center"/>
              <w:rPr>
                <w:rFonts w:ascii="仿宋"/>
                <w:sz w:val="24"/>
              </w:rPr>
            </w:pPr>
            <w:r>
              <w:rPr>
                <w:rFonts w:ascii="仿宋"/>
                <w:sz w:val="24"/>
              </w:rPr>
              <w:t>20.83</w:t>
            </w:r>
          </w:p>
        </w:tc>
        <w:tc>
          <w:tcPr>
            <w:tcW w:w="993" w:type="dxa"/>
            <w:tcBorders>
              <w:top w:val="single" w:sz="8" w:space="0" w:color="000000"/>
              <w:left w:val="single" w:sz="8" w:space="0" w:color="000000"/>
              <w:bottom w:val="single" w:sz="8" w:space="0" w:color="000000"/>
            </w:tcBorders>
          </w:tcPr>
          <w:p>
            <w:pPr>
              <w:pStyle w:val="TableParagraph"/>
              <w:spacing w:before="152"/>
              <w:ind w:left="55" w:right="23"/>
              <w:jc w:val="center"/>
              <w:rPr>
                <w:rFonts w:ascii="仿宋"/>
                <w:sz w:val="24"/>
              </w:rPr>
            </w:pPr>
            <w:r>
              <w:rPr>
                <w:rFonts w:ascii="仿宋"/>
                <w:sz w:val="24"/>
              </w:rPr>
              <w:t>18.45</w:t>
            </w:r>
          </w:p>
        </w:tc>
      </w:tr>
      <w:tr>
        <w:trPr>
          <w:trHeight w:val="457"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424" w:type="dxa"/>
            <w:tcBorders>
              <w:top w:val="single" w:sz="8" w:space="0" w:color="000000"/>
              <w:left w:val="single" w:sz="8" w:space="0" w:color="000000"/>
              <w:bottom w:val="single" w:sz="8" w:space="0" w:color="000000"/>
              <w:right w:val="single" w:sz="8" w:space="0" w:color="000000"/>
            </w:tcBorders>
          </w:tcPr>
          <w:p>
            <w:pPr>
              <w:pStyle w:val="TableParagraph"/>
              <w:spacing w:before="75"/>
              <w:ind w:left="28"/>
              <w:jc w:val="center"/>
              <w:rPr>
                <w:rFonts w:ascii="仿宋"/>
                <w:sz w:val="24"/>
              </w:rPr>
            </w:pPr>
            <w:r>
              <w:rPr>
                <w:rFonts w:ascii="仿宋"/>
                <w:sz w:val="24"/>
              </w:rPr>
              <w:t>5</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5"/>
              <w:ind w:left="111"/>
              <w:rPr>
                <w:rFonts w:ascii="仿宋" w:eastAsia="仿宋" w:hint="eastAsia"/>
                <w:sz w:val="24"/>
              </w:rPr>
            </w:pPr>
            <w:r>
              <w:rPr>
                <w:rFonts w:ascii="仿宋" w:eastAsia="仿宋" w:hint="eastAsia"/>
                <w:sz w:val="24"/>
              </w:rPr>
              <w:t>生均校内实践教学工位数</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5"/>
              <w:ind w:left="199"/>
              <w:rPr>
                <w:rFonts w:ascii="仿宋" w:eastAsia="仿宋" w:hint="eastAsia"/>
                <w:sz w:val="24"/>
              </w:rPr>
            </w:pPr>
            <w:r>
              <w:rPr>
                <w:rFonts w:ascii="仿宋" w:eastAsia="仿宋" w:hint="eastAsia"/>
                <w:sz w:val="24"/>
              </w:rPr>
              <w:t>个/生</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5"/>
              <w:ind w:left="53" w:right="27"/>
              <w:jc w:val="center"/>
              <w:rPr>
                <w:rFonts w:ascii="仿宋"/>
                <w:sz w:val="24"/>
              </w:rPr>
            </w:pPr>
            <w:r>
              <w:rPr>
                <w:rFonts w:ascii="仿宋"/>
                <w:sz w:val="24"/>
              </w:rPr>
              <w:t>0.59</w:t>
            </w:r>
          </w:p>
        </w:tc>
        <w:tc>
          <w:tcPr>
            <w:tcW w:w="993" w:type="dxa"/>
            <w:tcBorders>
              <w:top w:val="single" w:sz="8" w:space="0" w:color="000000"/>
              <w:left w:val="single" w:sz="8" w:space="0" w:color="000000"/>
              <w:bottom w:val="single" w:sz="8" w:space="0" w:color="000000"/>
            </w:tcBorders>
          </w:tcPr>
          <w:p>
            <w:pPr>
              <w:pStyle w:val="TableParagraph"/>
              <w:spacing w:before="75"/>
              <w:ind w:left="55" w:right="23"/>
              <w:jc w:val="center"/>
              <w:rPr>
                <w:rFonts w:ascii="仿宋"/>
                <w:sz w:val="24"/>
              </w:rPr>
            </w:pPr>
            <w:r>
              <w:rPr>
                <w:rFonts w:ascii="仿宋"/>
                <w:sz w:val="24"/>
              </w:rPr>
              <w:t>0.65</w:t>
            </w:r>
          </w:p>
        </w:tc>
      </w:tr>
      <w:tr>
        <w:trPr>
          <w:trHeight w:val="457"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424" w:type="dxa"/>
            <w:tcBorders>
              <w:top w:val="single" w:sz="8" w:space="0" w:color="000000"/>
              <w:left w:val="single" w:sz="8" w:space="0" w:color="000000"/>
              <w:bottom w:val="single" w:sz="8" w:space="0" w:color="000000"/>
              <w:right w:val="single" w:sz="8" w:space="0" w:color="000000"/>
            </w:tcBorders>
          </w:tcPr>
          <w:p>
            <w:pPr>
              <w:pStyle w:val="TableParagraph"/>
              <w:spacing w:before="74"/>
              <w:ind w:left="28"/>
              <w:jc w:val="center"/>
              <w:rPr>
                <w:rFonts w:ascii="仿宋"/>
                <w:sz w:val="24"/>
              </w:rPr>
            </w:pPr>
            <w:r>
              <w:rPr>
                <w:rFonts w:ascii="仿宋"/>
                <w:sz w:val="24"/>
              </w:rPr>
              <w:t>6</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74"/>
              <w:ind w:left="111"/>
              <w:rPr>
                <w:rFonts w:ascii="仿宋" w:eastAsia="仿宋" w:hint="eastAsia"/>
                <w:sz w:val="24"/>
              </w:rPr>
            </w:pPr>
            <w:r>
              <w:rPr>
                <w:rFonts w:ascii="仿宋" w:eastAsia="仿宋" w:hint="eastAsia"/>
                <w:sz w:val="24"/>
              </w:rPr>
              <w:t>校园网主干最大带宽</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4"/>
              <w:ind w:left="259"/>
              <w:rPr>
                <w:rFonts w:ascii="仿宋"/>
                <w:sz w:val="24"/>
              </w:rPr>
            </w:pPr>
            <w:r>
              <w:rPr>
                <w:rFonts w:ascii="仿宋"/>
                <w:sz w:val="24"/>
              </w:rPr>
              <w:t>Mbps</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4"/>
              <w:ind w:left="53" w:right="27"/>
              <w:jc w:val="center"/>
              <w:rPr>
                <w:rFonts w:ascii="仿宋"/>
                <w:sz w:val="24"/>
              </w:rPr>
            </w:pPr>
            <w:r>
              <w:rPr>
                <w:rFonts w:ascii="仿宋"/>
                <w:sz w:val="24"/>
              </w:rPr>
              <w:t>1000</w:t>
            </w:r>
          </w:p>
        </w:tc>
        <w:tc>
          <w:tcPr>
            <w:tcW w:w="993" w:type="dxa"/>
            <w:tcBorders>
              <w:top w:val="single" w:sz="8" w:space="0" w:color="000000"/>
              <w:left w:val="single" w:sz="8" w:space="0" w:color="000000"/>
              <w:bottom w:val="single" w:sz="8" w:space="0" w:color="000000"/>
            </w:tcBorders>
          </w:tcPr>
          <w:p>
            <w:pPr>
              <w:pStyle w:val="TableParagraph"/>
              <w:spacing w:before="74"/>
              <w:ind w:left="55" w:right="23"/>
              <w:jc w:val="center"/>
              <w:rPr>
                <w:rFonts w:ascii="仿宋"/>
                <w:sz w:val="24"/>
              </w:rPr>
            </w:pPr>
            <w:r>
              <w:rPr>
                <w:rFonts w:ascii="仿宋"/>
                <w:sz w:val="24"/>
              </w:rPr>
              <w:t>10000</w:t>
            </w:r>
          </w:p>
        </w:tc>
      </w:tr>
      <w:tr>
        <w:trPr>
          <w:trHeight w:val="488"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42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rPr>
                <w:rFonts w:ascii="黑体"/>
                <w:b/>
                <w:sz w:val="29"/>
              </w:rPr>
            </w:pPr>
          </w:p>
          <w:p>
            <w:pPr>
              <w:pStyle w:val="TableParagraph"/>
              <w:ind w:left="155"/>
              <w:rPr>
                <w:rFonts w:ascii="仿宋"/>
                <w:sz w:val="24"/>
              </w:rPr>
            </w:pPr>
            <w:r>
              <w:rPr>
                <w:rFonts w:ascii="仿宋"/>
                <w:sz w:val="24"/>
              </w:rPr>
              <w:t>7</w:t>
            </w: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90"/>
              <w:ind w:left="111"/>
              <w:rPr>
                <w:rFonts w:ascii="仿宋" w:eastAsia="仿宋" w:hint="eastAsia"/>
                <w:sz w:val="24"/>
              </w:rPr>
            </w:pPr>
            <w:r>
              <w:rPr>
                <w:rFonts w:ascii="仿宋" w:eastAsia="仿宋" w:hint="eastAsia"/>
                <w:sz w:val="24"/>
              </w:rPr>
              <w:t>教学计划内课程总数</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90"/>
              <w:ind w:left="25"/>
              <w:jc w:val="center"/>
              <w:rPr>
                <w:rFonts w:ascii="仿宋" w:eastAsia="仿宋" w:hint="eastAsia"/>
                <w:sz w:val="24"/>
              </w:rPr>
            </w:pPr>
            <w:r>
              <w:rPr>
                <w:rFonts w:ascii="仿宋" w:eastAsia="仿宋" w:hint="eastAsia"/>
                <w:sz w:val="24"/>
              </w:rPr>
              <w:t>门</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90"/>
              <w:ind w:left="53" w:right="27"/>
              <w:jc w:val="center"/>
              <w:rPr>
                <w:rFonts w:ascii="仿宋"/>
                <w:sz w:val="24"/>
              </w:rPr>
            </w:pPr>
            <w:r>
              <w:rPr>
                <w:rFonts w:ascii="仿宋"/>
                <w:sz w:val="24"/>
              </w:rPr>
              <w:t>664</w:t>
            </w:r>
          </w:p>
        </w:tc>
        <w:tc>
          <w:tcPr>
            <w:tcW w:w="993" w:type="dxa"/>
            <w:tcBorders>
              <w:top w:val="single" w:sz="8" w:space="0" w:color="000000"/>
              <w:left w:val="single" w:sz="8" w:space="0" w:color="000000"/>
              <w:bottom w:val="single" w:sz="8" w:space="0" w:color="000000"/>
            </w:tcBorders>
          </w:tcPr>
          <w:p>
            <w:pPr>
              <w:pStyle w:val="TableParagraph"/>
              <w:spacing w:before="90"/>
              <w:ind w:left="55" w:right="23"/>
              <w:jc w:val="center"/>
              <w:rPr>
                <w:rFonts w:ascii="仿宋"/>
                <w:sz w:val="24"/>
              </w:rPr>
            </w:pPr>
            <w:r>
              <w:rPr>
                <w:rFonts w:ascii="仿宋"/>
                <w:sz w:val="24"/>
              </w:rPr>
              <w:t>743</w:t>
            </w:r>
          </w:p>
        </w:tc>
      </w:tr>
      <w:tr>
        <w:trPr>
          <w:trHeight w:val="538"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424" w:type="dxa"/>
            <w:vMerge/>
            <w:tcBorders>
              <w:top w:val="nil"/>
              <w:left w:val="single" w:sz="8" w:space="0" w:color="000000"/>
              <w:bottom w:val="single" w:sz="8" w:space="0" w:color="000000"/>
              <w:right w:val="single" w:sz="8" w:space="0" w:color="000000"/>
            </w:tcBorders>
          </w:tcPr>
          <w:p>
            <w:pPr>
              <w:rPr>
                <w:sz w:val="2"/>
                <w:szCs w:val="2"/>
              </w:rPr>
            </w:pPr>
          </w:p>
        </w:tc>
        <w:tc>
          <w:tcPr>
            <w:tcW w:w="3548" w:type="dxa"/>
            <w:tcBorders>
              <w:top w:val="single" w:sz="8" w:space="0" w:color="000000"/>
              <w:left w:val="single" w:sz="8" w:space="0" w:color="000000"/>
              <w:bottom w:val="single" w:sz="8" w:space="0" w:color="000000"/>
              <w:right w:val="single" w:sz="8" w:space="0" w:color="000000"/>
            </w:tcBorders>
          </w:tcPr>
          <w:p>
            <w:pPr>
              <w:pStyle w:val="TableParagraph"/>
              <w:spacing w:before="116"/>
              <w:ind w:left="351"/>
              <w:rPr>
                <w:rFonts w:ascii="仿宋" w:eastAsia="仿宋" w:hint="eastAsia"/>
                <w:sz w:val="24"/>
              </w:rPr>
            </w:pPr>
            <w:r>
              <w:rPr>
                <w:rFonts w:ascii="仿宋" w:eastAsia="仿宋" w:hint="eastAsia"/>
                <w:sz w:val="24"/>
              </w:rPr>
              <w:t>其中：线上开设课程数</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16"/>
              <w:ind w:left="25"/>
              <w:jc w:val="center"/>
              <w:rPr>
                <w:rFonts w:ascii="仿宋" w:eastAsia="仿宋" w:hint="eastAsia"/>
                <w:sz w:val="24"/>
              </w:rPr>
            </w:pPr>
            <w:r>
              <w:rPr>
                <w:rFonts w:ascii="仿宋" w:eastAsia="仿宋" w:hint="eastAsia"/>
                <w:sz w:val="24"/>
              </w:rPr>
              <w:t>门</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16"/>
              <w:ind w:left="53" w:right="27"/>
              <w:jc w:val="center"/>
              <w:rPr>
                <w:rFonts w:ascii="仿宋"/>
                <w:sz w:val="24"/>
              </w:rPr>
            </w:pPr>
            <w:r>
              <w:rPr>
                <w:rFonts w:ascii="仿宋"/>
                <w:sz w:val="24"/>
              </w:rPr>
              <w:t>317</w:t>
            </w:r>
          </w:p>
        </w:tc>
        <w:tc>
          <w:tcPr>
            <w:tcW w:w="993" w:type="dxa"/>
            <w:tcBorders>
              <w:top w:val="single" w:sz="8" w:space="0" w:color="000000"/>
              <w:left w:val="single" w:sz="8" w:space="0" w:color="000000"/>
              <w:bottom w:val="single" w:sz="8" w:space="0" w:color="000000"/>
            </w:tcBorders>
          </w:tcPr>
          <w:p>
            <w:pPr>
              <w:pStyle w:val="TableParagraph"/>
              <w:spacing w:before="116"/>
              <w:ind w:left="55" w:right="23"/>
              <w:jc w:val="center"/>
              <w:rPr>
                <w:rFonts w:ascii="仿宋"/>
                <w:sz w:val="24"/>
              </w:rPr>
            </w:pPr>
            <w:r>
              <w:rPr>
                <w:rFonts w:ascii="仿宋"/>
                <w:sz w:val="24"/>
              </w:rPr>
              <w:t>379</w:t>
            </w:r>
          </w:p>
        </w:tc>
      </w:tr>
      <w:tr>
        <w:trPr>
          <w:trHeight w:val="1866" w:hRule="atLeast"/>
        </w:trPr>
        <w:tc>
          <w:tcPr>
            <w:tcW w:w="819" w:type="dxa"/>
            <w:vMerge/>
            <w:tcBorders>
              <w:top w:val="nil"/>
              <w:right w:val="single" w:sz="8" w:space="0" w:color="000000"/>
            </w:tcBorders>
          </w:tcPr>
          <w:p>
            <w:pPr>
              <w:rPr>
                <w:sz w:val="2"/>
                <w:szCs w:val="2"/>
              </w:rPr>
            </w:pPr>
          </w:p>
        </w:tc>
        <w:tc>
          <w:tcPr>
            <w:tcW w:w="854" w:type="dxa"/>
            <w:vMerge/>
            <w:tcBorders>
              <w:top w:val="nil"/>
              <w:left w:val="single" w:sz="8" w:space="0" w:color="000000"/>
              <w:right w:val="single" w:sz="8" w:space="0" w:color="000000"/>
            </w:tcBorders>
          </w:tcPr>
          <w:p>
            <w:pPr>
              <w:rPr>
                <w:sz w:val="2"/>
                <w:szCs w:val="2"/>
              </w:rPr>
            </w:pPr>
          </w:p>
        </w:tc>
        <w:tc>
          <w:tcPr>
            <w:tcW w:w="6951" w:type="dxa"/>
            <w:gridSpan w:val="5"/>
            <w:tcBorders>
              <w:top w:val="single" w:sz="8" w:space="0" w:color="000000"/>
              <w:left w:val="single" w:sz="8" w:space="0" w:color="000000"/>
            </w:tcBorders>
          </w:tcPr>
          <w:p>
            <w:pPr>
              <w:pStyle w:val="TableParagraph"/>
              <w:spacing w:line="306" w:lineRule="exact"/>
              <w:ind w:left="112"/>
              <w:rPr>
                <w:rFonts w:ascii="仿宋" w:eastAsia="仿宋" w:hint="eastAsia"/>
                <w:sz w:val="24"/>
              </w:rPr>
            </w:pPr>
            <w:r>
              <w:rPr>
                <w:rFonts w:ascii="仿宋" w:eastAsia="仿宋" w:hint="eastAsia"/>
                <w:sz w:val="24"/>
              </w:rPr>
              <w:t>学院类别(单选)：综合、师范、民族院校()</w:t>
            </w:r>
          </w:p>
          <w:p>
            <w:pPr>
              <w:pStyle w:val="TableParagraph"/>
              <w:spacing w:line="242" w:lineRule="auto" w:before="4"/>
              <w:ind w:left="2272" w:right="2361"/>
              <w:rPr>
                <w:rFonts w:ascii="仿宋" w:hAnsi="仿宋" w:eastAsia="仿宋" w:hint="eastAsia"/>
                <w:sz w:val="24"/>
              </w:rPr>
            </w:pPr>
            <w:r>
              <w:rPr>
                <w:rFonts w:ascii="仿宋" w:hAnsi="仿宋" w:eastAsia="仿宋" w:hint="eastAsia"/>
                <w:spacing w:val="-1"/>
                <w:sz w:val="24"/>
              </w:rPr>
              <w:t>工科、农、林院校(</w:t>
            </w:r>
            <w:r>
              <w:rPr>
                <w:rFonts w:ascii="Arial" w:hAnsi="Arial" w:eastAsia="Arial"/>
                <w:spacing w:val="-7"/>
                <w:sz w:val="24"/>
              </w:rPr>
              <w:t>√</w:t>
            </w:r>
            <w:r>
              <w:rPr>
                <w:rFonts w:ascii="仿宋" w:hAnsi="仿宋" w:eastAsia="仿宋" w:hint="eastAsia"/>
                <w:spacing w:val="-7"/>
                <w:sz w:val="24"/>
              </w:rPr>
              <w:t>) </w:t>
            </w:r>
            <w:r>
              <w:rPr>
                <w:rFonts w:ascii="仿宋" w:hAnsi="仿宋" w:eastAsia="仿宋" w:hint="eastAsia"/>
                <w:sz w:val="24"/>
              </w:rPr>
              <w:t>医学院校()</w:t>
            </w:r>
          </w:p>
          <w:p>
            <w:pPr>
              <w:pStyle w:val="TableParagraph"/>
              <w:spacing w:line="242" w:lineRule="auto" w:before="3"/>
              <w:ind w:left="2272" w:right="1891"/>
              <w:rPr>
                <w:rFonts w:ascii="仿宋" w:eastAsia="仿宋" w:hint="eastAsia"/>
                <w:sz w:val="24"/>
              </w:rPr>
            </w:pPr>
            <w:r>
              <w:rPr>
                <w:rFonts w:ascii="仿宋" w:eastAsia="仿宋" w:hint="eastAsia"/>
                <w:spacing w:val="-2"/>
                <w:sz w:val="24"/>
              </w:rPr>
              <w:t>语文、财经、政法院校( ) </w:t>
            </w:r>
            <w:r>
              <w:rPr>
                <w:rFonts w:ascii="仿宋" w:eastAsia="仿宋" w:hint="eastAsia"/>
                <w:sz w:val="24"/>
              </w:rPr>
              <w:t>体育院校()</w:t>
            </w:r>
          </w:p>
          <w:p>
            <w:pPr>
              <w:pStyle w:val="TableParagraph"/>
              <w:spacing w:line="288" w:lineRule="exact" w:before="3"/>
              <w:ind w:left="2272"/>
              <w:rPr>
                <w:rFonts w:ascii="仿宋" w:eastAsia="仿宋" w:hint="eastAsia"/>
                <w:sz w:val="24"/>
              </w:rPr>
            </w:pPr>
            <w:r>
              <w:rPr>
                <w:rFonts w:ascii="仿宋" w:eastAsia="仿宋" w:hint="eastAsia"/>
                <w:sz w:val="24"/>
              </w:rPr>
              <w:t>艺术院校()</w:t>
            </w:r>
          </w:p>
        </w:tc>
      </w:tr>
    </w:tbl>
    <w:p>
      <w:pPr>
        <w:spacing w:after="0" w:line="288" w:lineRule="exact"/>
        <w:rPr>
          <w:rFonts w:ascii="仿宋" w:eastAsia="仿宋" w:hint="eastAsia"/>
          <w:sz w:val="24"/>
        </w:rPr>
        <w:sectPr>
          <w:pgSz w:w="11910" w:h="16840"/>
          <w:pgMar w:header="780" w:footer="1241" w:top="1260" w:bottom="1440" w:left="0" w:right="0"/>
        </w:sectPr>
      </w:pPr>
    </w:p>
    <w:p>
      <w:pPr>
        <w:pStyle w:val="BodyText"/>
        <w:rPr>
          <w:rFonts w:ascii="黑体"/>
          <w:b/>
          <w:sz w:val="20"/>
        </w:rPr>
      </w:pPr>
    </w:p>
    <w:p>
      <w:pPr>
        <w:pStyle w:val="BodyText"/>
        <w:spacing w:before="6"/>
        <w:rPr>
          <w:rFonts w:ascii="黑体"/>
          <w:b/>
          <w:sz w:val="28"/>
        </w:rPr>
      </w:pPr>
    </w:p>
    <w:p>
      <w:pPr>
        <w:pStyle w:val="Heading2"/>
        <w:tabs>
          <w:tab w:pos="2800" w:val="left" w:leader="none"/>
        </w:tabs>
        <w:spacing w:before="67"/>
        <w:ind w:left="1898" w:firstLine="0"/>
      </w:pPr>
      <w:bookmarkStart w:name="附表4  国际影响表" w:id="300"/>
      <w:bookmarkEnd w:id="300"/>
      <w:r>
        <w:rPr>
          <w:b w:val="0"/>
        </w:rPr>
      </w:r>
      <w:bookmarkStart w:name="_bookmark109" w:id="301"/>
      <w:bookmarkEnd w:id="301"/>
      <w:r>
        <w:rPr>
          <w:b w:val="0"/>
        </w:rPr>
      </w:r>
      <w:r>
        <w:rPr/>
        <w:t>附表</w:t>
      </w:r>
      <w:r>
        <w:rPr>
          <w:spacing w:val="-62"/>
        </w:rPr>
        <w:t> </w:t>
      </w:r>
      <w:r>
        <w:rPr/>
        <w:t>4</w:t>
        <w:tab/>
        <w:t>国际影响表</w:t>
      </w:r>
    </w:p>
    <w:p>
      <w:pPr>
        <w:pStyle w:val="BodyText"/>
        <w:spacing w:before="11"/>
        <w:rPr>
          <w:rFonts w:ascii="黑体"/>
          <w:b/>
          <w:sz w:val="23"/>
        </w:rPr>
      </w:pPr>
    </w:p>
    <w:p>
      <w:pPr>
        <w:spacing w:before="62"/>
        <w:ind w:left="0" w:right="35" w:firstLine="0"/>
        <w:jc w:val="center"/>
        <w:rPr>
          <w:rFonts w:ascii="黑体" w:eastAsia="黑体" w:hint="eastAsia"/>
          <w:b/>
          <w:sz w:val="28"/>
        </w:rPr>
      </w:pPr>
      <w:r>
        <w:rPr>
          <w:rFonts w:ascii="黑体" w:eastAsia="黑体" w:hint="eastAsia"/>
          <w:b/>
          <w:sz w:val="28"/>
        </w:rPr>
        <w:t>国际影响表</w:t>
      </w:r>
    </w:p>
    <w:p>
      <w:pPr>
        <w:pStyle w:val="BodyText"/>
        <w:spacing w:before="4"/>
        <w:rPr>
          <w:rFonts w:ascii="黑体"/>
          <w:b/>
          <w:sz w:val="10"/>
        </w:rPr>
      </w:pPr>
    </w:p>
    <w:tbl>
      <w:tblPr>
        <w:tblW w:w="0" w:type="auto"/>
        <w:jc w:val="left"/>
        <w:tblInd w:w="11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8"/>
        <w:gridCol w:w="788"/>
        <w:gridCol w:w="452"/>
        <w:gridCol w:w="2819"/>
        <w:gridCol w:w="740"/>
        <w:gridCol w:w="1057"/>
        <w:gridCol w:w="992"/>
        <w:gridCol w:w="1984"/>
      </w:tblGrid>
      <w:tr>
        <w:trPr>
          <w:trHeight w:val="672" w:hRule="atLeast"/>
        </w:trPr>
        <w:tc>
          <w:tcPr>
            <w:tcW w:w="788" w:type="dxa"/>
            <w:tcBorders>
              <w:bottom w:val="single" w:sz="8" w:space="0" w:color="000000"/>
              <w:right w:val="single" w:sz="8" w:space="0" w:color="000000"/>
            </w:tcBorders>
          </w:tcPr>
          <w:p>
            <w:pPr>
              <w:pStyle w:val="TableParagraph"/>
              <w:spacing w:line="310" w:lineRule="atLeast" w:before="3"/>
              <w:ind w:left="183" w:right="159"/>
              <w:rPr>
                <w:sz w:val="21"/>
              </w:rPr>
            </w:pPr>
            <w:r>
              <w:rPr>
                <w:sz w:val="21"/>
              </w:rPr>
              <w:t>院校代码</w:t>
            </w:r>
          </w:p>
        </w:tc>
        <w:tc>
          <w:tcPr>
            <w:tcW w:w="788" w:type="dxa"/>
            <w:tcBorders>
              <w:left w:val="single" w:sz="8" w:space="0" w:color="000000"/>
              <w:bottom w:val="single" w:sz="8" w:space="0" w:color="000000"/>
              <w:right w:val="single" w:sz="8" w:space="0" w:color="000000"/>
            </w:tcBorders>
          </w:tcPr>
          <w:p>
            <w:pPr>
              <w:pStyle w:val="TableParagraph"/>
              <w:spacing w:line="310" w:lineRule="atLeast" w:before="3"/>
              <w:ind w:left="187" w:right="160"/>
              <w:rPr>
                <w:sz w:val="21"/>
              </w:rPr>
            </w:pPr>
            <w:r>
              <w:rPr>
                <w:sz w:val="21"/>
              </w:rPr>
              <w:t>院校名称</w:t>
            </w:r>
          </w:p>
        </w:tc>
        <w:tc>
          <w:tcPr>
            <w:tcW w:w="3271" w:type="dxa"/>
            <w:gridSpan w:val="2"/>
            <w:tcBorders>
              <w:left w:val="single" w:sz="8" w:space="0" w:color="000000"/>
              <w:bottom w:val="single" w:sz="8" w:space="0" w:color="000000"/>
              <w:right w:val="single" w:sz="8" w:space="0" w:color="000000"/>
            </w:tcBorders>
          </w:tcPr>
          <w:p>
            <w:pPr>
              <w:pStyle w:val="TableParagraph"/>
              <w:spacing w:before="7"/>
              <w:rPr>
                <w:rFonts w:ascii="黑体"/>
                <w:b/>
                <w:sz w:val="15"/>
              </w:rPr>
            </w:pPr>
          </w:p>
          <w:p>
            <w:pPr>
              <w:pStyle w:val="TableParagraph"/>
              <w:tabs>
                <w:tab w:pos="658" w:val="left" w:leader="none"/>
              </w:tabs>
              <w:ind w:left="27"/>
              <w:jc w:val="center"/>
              <w:rPr>
                <w:sz w:val="21"/>
              </w:rPr>
            </w:pPr>
            <w:r>
              <w:rPr>
                <w:sz w:val="21"/>
              </w:rPr>
              <w:t>指</w:t>
              <w:tab/>
              <w:t>标</w:t>
            </w:r>
          </w:p>
        </w:tc>
        <w:tc>
          <w:tcPr>
            <w:tcW w:w="740" w:type="dxa"/>
            <w:tcBorders>
              <w:left w:val="single" w:sz="8" w:space="0" w:color="000000"/>
              <w:bottom w:val="single" w:sz="8" w:space="0" w:color="000000"/>
              <w:right w:val="single" w:sz="8" w:space="0" w:color="000000"/>
            </w:tcBorders>
          </w:tcPr>
          <w:p>
            <w:pPr>
              <w:pStyle w:val="TableParagraph"/>
              <w:spacing w:before="7"/>
              <w:rPr>
                <w:rFonts w:ascii="黑体"/>
                <w:b/>
                <w:sz w:val="15"/>
              </w:rPr>
            </w:pPr>
          </w:p>
          <w:p>
            <w:pPr>
              <w:pStyle w:val="TableParagraph"/>
              <w:ind w:left="163"/>
              <w:rPr>
                <w:sz w:val="21"/>
              </w:rPr>
            </w:pPr>
            <w:r>
              <w:rPr>
                <w:sz w:val="21"/>
              </w:rPr>
              <w:t>单位</w:t>
            </w:r>
          </w:p>
        </w:tc>
        <w:tc>
          <w:tcPr>
            <w:tcW w:w="1057" w:type="dxa"/>
            <w:tcBorders>
              <w:left w:val="single" w:sz="8" w:space="0" w:color="000000"/>
              <w:bottom w:val="single" w:sz="8" w:space="0" w:color="000000"/>
              <w:right w:val="single" w:sz="8" w:space="0" w:color="000000"/>
            </w:tcBorders>
          </w:tcPr>
          <w:p>
            <w:pPr>
              <w:pStyle w:val="TableParagraph"/>
              <w:spacing w:before="7"/>
              <w:rPr>
                <w:rFonts w:ascii="黑体"/>
                <w:b/>
                <w:sz w:val="15"/>
              </w:rPr>
            </w:pPr>
          </w:p>
          <w:p>
            <w:pPr>
              <w:pStyle w:val="TableParagraph"/>
              <w:ind w:left="191"/>
              <w:rPr>
                <w:sz w:val="21"/>
              </w:rPr>
            </w:pPr>
            <w:r>
              <w:rPr>
                <w:rFonts w:ascii="Times New Roman" w:eastAsia="Times New Roman"/>
                <w:sz w:val="21"/>
              </w:rPr>
              <w:t>2017 </w:t>
            </w:r>
            <w:r>
              <w:rPr>
                <w:sz w:val="21"/>
              </w:rPr>
              <w:t>年</w:t>
            </w:r>
          </w:p>
        </w:tc>
        <w:tc>
          <w:tcPr>
            <w:tcW w:w="992" w:type="dxa"/>
            <w:tcBorders>
              <w:left w:val="single" w:sz="8" w:space="0" w:color="000000"/>
              <w:bottom w:val="single" w:sz="8" w:space="0" w:color="000000"/>
              <w:right w:val="single" w:sz="8" w:space="0" w:color="000000"/>
            </w:tcBorders>
          </w:tcPr>
          <w:p>
            <w:pPr>
              <w:pStyle w:val="TableParagraph"/>
              <w:spacing w:before="7"/>
              <w:rPr>
                <w:rFonts w:ascii="黑体"/>
                <w:b/>
                <w:sz w:val="15"/>
              </w:rPr>
            </w:pPr>
          </w:p>
          <w:p>
            <w:pPr>
              <w:pStyle w:val="TableParagraph"/>
              <w:ind w:left="158"/>
              <w:rPr>
                <w:sz w:val="21"/>
              </w:rPr>
            </w:pPr>
            <w:r>
              <w:rPr>
                <w:rFonts w:ascii="Times New Roman" w:eastAsia="Times New Roman"/>
                <w:sz w:val="21"/>
              </w:rPr>
              <w:t>2018 </w:t>
            </w:r>
            <w:r>
              <w:rPr>
                <w:sz w:val="21"/>
              </w:rPr>
              <w:t>年</w:t>
            </w:r>
          </w:p>
        </w:tc>
        <w:tc>
          <w:tcPr>
            <w:tcW w:w="1984" w:type="dxa"/>
            <w:tcBorders>
              <w:left w:val="single" w:sz="8" w:space="0" w:color="000000"/>
              <w:bottom w:val="single" w:sz="8" w:space="0" w:color="000000"/>
            </w:tcBorders>
          </w:tcPr>
          <w:p>
            <w:pPr>
              <w:pStyle w:val="TableParagraph"/>
              <w:spacing w:before="7"/>
              <w:rPr>
                <w:rFonts w:ascii="黑体"/>
                <w:b/>
                <w:sz w:val="15"/>
              </w:rPr>
            </w:pPr>
          </w:p>
          <w:p>
            <w:pPr>
              <w:pStyle w:val="TableParagraph"/>
              <w:ind w:left="765" w:right="733"/>
              <w:jc w:val="center"/>
              <w:rPr>
                <w:sz w:val="21"/>
              </w:rPr>
            </w:pPr>
            <w:r>
              <w:rPr>
                <w:sz w:val="21"/>
              </w:rPr>
              <w:t>备注</w:t>
            </w:r>
          </w:p>
        </w:tc>
      </w:tr>
      <w:tr>
        <w:trPr>
          <w:trHeight w:val="623" w:hRule="atLeast"/>
        </w:trPr>
        <w:tc>
          <w:tcPr>
            <w:tcW w:w="788" w:type="dxa"/>
            <w:tcBorders>
              <w:top w:val="single" w:sz="8" w:space="0" w:color="000000"/>
              <w:bottom w:val="nil"/>
              <w:right w:val="single" w:sz="8" w:space="0" w:color="000000"/>
            </w:tcBorders>
          </w:tcPr>
          <w:p>
            <w:pPr>
              <w:pStyle w:val="TableParagraph"/>
              <w:rPr>
                <w:rFonts w:ascii="Times New Roman"/>
                <w:sz w:val="16"/>
              </w:rPr>
            </w:pPr>
          </w:p>
        </w:tc>
        <w:tc>
          <w:tcPr>
            <w:tcW w:w="788"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spacing w:before="191"/>
              <w:ind w:left="112"/>
              <w:rPr>
                <w:rFonts w:ascii="Times New Roman"/>
                <w:sz w:val="21"/>
              </w:rPr>
            </w:pPr>
            <w:r>
              <w:rPr>
                <w:rFonts w:ascii="Times New Roman"/>
                <w:w w:val="99"/>
                <w:sz w:val="21"/>
              </w:rPr>
              <w:t>1</w:t>
            </w:r>
          </w:p>
        </w:tc>
        <w:tc>
          <w:tcPr>
            <w:tcW w:w="2819" w:type="dxa"/>
            <w:tcBorders>
              <w:top w:val="single" w:sz="8" w:space="0" w:color="000000"/>
              <w:left w:val="single" w:sz="8" w:space="0" w:color="000000"/>
              <w:bottom w:val="single" w:sz="8" w:space="0" w:color="000000"/>
              <w:right w:val="single" w:sz="8" w:space="0" w:color="000000"/>
            </w:tcBorders>
          </w:tcPr>
          <w:p>
            <w:pPr>
              <w:pStyle w:val="TableParagraph"/>
              <w:spacing w:before="21"/>
              <w:ind w:left="111"/>
              <w:rPr>
                <w:sz w:val="21"/>
              </w:rPr>
            </w:pPr>
            <w:r>
              <w:rPr>
                <w:sz w:val="21"/>
              </w:rPr>
              <w:t>全日制国</w:t>
            </w:r>
            <w:r>
              <w:rPr>
                <w:rFonts w:ascii="Times New Roman" w:eastAsia="Times New Roman"/>
                <w:sz w:val="21"/>
              </w:rPr>
              <w:t>(</w:t>
            </w:r>
            <w:r>
              <w:rPr>
                <w:sz w:val="21"/>
              </w:rPr>
              <w:t>境</w:t>
            </w:r>
            <w:r>
              <w:rPr>
                <w:rFonts w:ascii="Times New Roman" w:eastAsia="Times New Roman"/>
                <w:sz w:val="21"/>
              </w:rPr>
              <w:t>)</w:t>
            </w:r>
            <w:r>
              <w:rPr>
                <w:sz w:val="21"/>
              </w:rPr>
              <w:t>外留学生人数</w:t>
            </w:r>
          </w:p>
          <w:p>
            <w:pPr>
              <w:pStyle w:val="TableParagraph"/>
              <w:spacing w:before="43"/>
              <w:ind w:left="111"/>
              <w:rPr>
                <w:rFonts w:ascii="Times New Roman" w:eastAsia="Times New Roman"/>
                <w:sz w:val="21"/>
              </w:rPr>
            </w:pPr>
            <w:r>
              <w:rPr>
                <w:rFonts w:ascii="Times New Roman" w:eastAsia="Times New Roman"/>
                <w:sz w:val="21"/>
              </w:rPr>
              <w:t>(</w:t>
            </w:r>
            <w:r>
              <w:rPr>
                <w:sz w:val="21"/>
              </w:rPr>
              <w:t>一年以上</w:t>
            </w:r>
            <w:r>
              <w:rPr>
                <w:rFonts w:ascii="Times New Roman" w:eastAsia="Times New Roman"/>
                <w:sz w:val="21"/>
              </w:rPr>
              <w:t>)</w:t>
            </w:r>
          </w:p>
        </w:tc>
        <w:tc>
          <w:tcPr>
            <w:tcW w:w="740" w:type="dxa"/>
            <w:tcBorders>
              <w:top w:val="single" w:sz="8" w:space="0" w:color="000000"/>
              <w:left w:val="single" w:sz="8" w:space="0" w:color="000000"/>
              <w:bottom w:val="single" w:sz="8" w:space="0" w:color="000000"/>
              <w:right w:val="single" w:sz="8" w:space="0" w:color="000000"/>
            </w:tcBorders>
          </w:tcPr>
          <w:p>
            <w:pPr>
              <w:pStyle w:val="TableParagraph"/>
              <w:spacing w:before="177"/>
              <w:ind w:left="112"/>
              <w:rPr>
                <w:sz w:val="21"/>
              </w:rPr>
            </w:pPr>
            <w:r>
              <w:rPr>
                <w:w w:val="99"/>
                <w:sz w:val="21"/>
              </w:rPr>
              <w:t>人</w:t>
            </w:r>
          </w:p>
        </w:tc>
        <w:tc>
          <w:tcPr>
            <w:tcW w:w="1057" w:type="dxa"/>
            <w:tcBorders>
              <w:top w:val="single" w:sz="8" w:space="0" w:color="000000"/>
              <w:left w:val="single" w:sz="8" w:space="0" w:color="000000"/>
              <w:bottom w:val="single" w:sz="8" w:space="0" w:color="000000"/>
              <w:right w:val="single" w:sz="8" w:space="0" w:color="000000"/>
            </w:tcBorders>
          </w:tcPr>
          <w:p>
            <w:pPr>
              <w:pStyle w:val="TableParagraph"/>
              <w:spacing w:before="191"/>
              <w:ind w:left="112"/>
              <w:rPr>
                <w:rFonts w:ascii="Times New Roman"/>
                <w:sz w:val="21"/>
              </w:rPr>
            </w:pPr>
            <w:r>
              <w:rPr>
                <w:rFonts w:ascii="Times New Roman"/>
                <w:w w:val="99"/>
                <w:sz w:val="21"/>
              </w:rPr>
              <w:t>0</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91"/>
              <w:ind w:left="113"/>
              <w:rPr>
                <w:rFonts w:ascii="Times New Roman"/>
                <w:sz w:val="21"/>
              </w:rPr>
            </w:pPr>
            <w:r>
              <w:rPr>
                <w:rFonts w:ascii="Times New Roman"/>
                <w:sz w:val="21"/>
              </w:rPr>
              <w:t>56</w:t>
            </w:r>
          </w:p>
        </w:tc>
        <w:tc>
          <w:tcPr>
            <w:tcW w:w="1984" w:type="dxa"/>
            <w:tcBorders>
              <w:top w:val="single" w:sz="8" w:space="0" w:color="000000"/>
              <w:left w:val="single" w:sz="8" w:space="0" w:color="000000"/>
              <w:bottom w:val="single" w:sz="8" w:space="0" w:color="000000"/>
            </w:tcBorders>
          </w:tcPr>
          <w:p>
            <w:pPr>
              <w:pStyle w:val="TableParagraph"/>
              <w:spacing w:before="177"/>
              <w:ind w:left="112"/>
              <w:rPr>
                <w:sz w:val="21"/>
              </w:rPr>
            </w:pPr>
            <w:r>
              <w:rPr>
                <w:sz w:val="21"/>
              </w:rPr>
              <w:t>——</w:t>
            </w:r>
          </w:p>
        </w:tc>
      </w:tr>
      <w:tr>
        <w:trPr>
          <w:trHeight w:val="624"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rPr>
                <w:rFonts w:ascii="Times New Roman"/>
                <w:sz w:val="16"/>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spacing w:before="190"/>
              <w:ind w:left="112"/>
              <w:rPr>
                <w:rFonts w:ascii="Times New Roman"/>
                <w:sz w:val="21"/>
              </w:rPr>
            </w:pPr>
            <w:r>
              <w:rPr>
                <w:rFonts w:ascii="Times New Roman"/>
                <w:w w:val="99"/>
                <w:sz w:val="21"/>
              </w:rPr>
              <w:t>2</w:t>
            </w:r>
          </w:p>
        </w:tc>
        <w:tc>
          <w:tcPr>
            <w:tcW w:w="2819" w:type="dxa"/>
            <w:tcBorders>
              <w:top w:val="single" w:sz="8" w:space="0" w:color="000000"/>
              <w:left w:val="single" w:sz="8" w:space="0" w:color="000000"/>
              <w:bottom w:val="single" w:sz="8" w:space="0" w:color="000000"/>
              <w:right w:val="single" w:sz="8" w:space="0" w:color="000000"/>
            </w:tcBorders>
          </w:tcPr>
          <w:p>
            <w:pPr>
              <w:pStyle w:val="TableParagraph"/>
              <w:spacing w:before="20"/>
              <w:ind w:left="111"/>
              <w:rPr>
                <w:sz w:val="21"/>
              </w:rPr>
            </w:pPr>
            <w:r>
              <w:rPr>
                <w:sz w:val="21"/>
              </w:rPr>
              <w:t>非全日制国</w:t>
            </w:r>
            <w:r>
              <w:rPr>
                <w:rFonts w:ascii="Times New Roman" w:eastAsia="Times New Roman"/>
                <w:sz w:val="21"/>
              </w:rPr>
              <w:t>(</w:t>
            </w:r>
            <w:r>
              <w:rPr>
                <w:sz w:val="21"/>
              </w:rPr>
              <w:t>境</w:t>
            </w:r>
            <w:r>
              <w:rPr>
                <w:rFonts w:ascii="Times New Roman" w:eastAsia="Times New Roman"/>
                <w:sz w:val="21"/>
              </w:rPr>
              <w:t>)</w:t>
            </w:r>
            <w:r>
              <w:rPr>
                <w:sz w:val="21"/>
              </w:rPr>
              <w:t>外人员培训</w:t>
            </w:r>
          </w:p>
          <w:p>
            <w:pPr>
              <w:pStyle w:val="TableParagraph"/>
              <w:spacing w:before="43"/>
              <w:ind w:left="111"/>
              <w:rPr>
                <w:sz w:val="21"/>
              </w:rPr>
            </w:pPr>
            <w:r>
              <w:rPr>
                <w:w w:val="99"/>
                <w:sz w:val="21"/>
              </w:rPr>
              <w:t>量</w:t>
            </w:r>
          </w:p>
        </w:tc>
        <w:tc>
          <w:tcPr>
            <w:tcW w:w="740" w:type="dxa"/>
            <w:tcBorders>
              <w:top w:val="single" w:sz="8" w:space="0" w:color="000000"/>
              <w:left w:val="single" w:sz="8" w:space="0" w:color="000000"/>
              <w:bottom w:val="single" w:sz="8" w:space="0" w:color="000000"/>
              <w:right w:val="single" w:sz="8" w:space="0" w:color="000000"/>
            </w:tcBorders>
          </w:tcPr>
          <w:p>
            <w:pPr>
              <w:pStyle w:val="TableParagraph"/>
              <w:spacing w:before="176"/>
              <w:ind w:left="112"/>
              <w:rPr>
                <w:sz w:val="21"/>
              </w:rPr>
            </w:pPr>
            <w:r>
              <w:rPr>
                <w:sz w:val="21"/>
              </w:rPr>
              <w:t>人日</w:t>
            </w:r>
          </w:p>
        </w:tc>
        <w:tc>
          <w:tcPr>
            <w:tcW w:w="1057" w:type="dxa"/>
            <w:tcBorders>
              <w:top w:val="single" w:sz="8" w:space="0" w:color="000000"/>
              <w:left w:val="single" w:sz="8" w:space="0" w:color="000000"/>
              <w:bottom w:val="single" w:sz="8" w:space="0" w:color="000000"/>
              <w:right w:val="single" w:sz="8" w:space="0" w:color="000000"/>
            </w:tcBorders>
          </w:tcPr>
          <w:p>
            <w:pPr>
              <w:pStyle w:val="TableParagraph"/>
              <w:spacing w:before="190"/>
              <w:ind w:left="112"/>
              <w:rPr>
                <w:rFonts w:ascii="Times New Roman"/>
                <w:sz w:val="21"/>
              </w:rPr>
            </w:pPr>
            <w:r>
              <w:rPr>
                <w:rFonts w:ascii="Times New Roman"/>
                <w:sz w:val="21"/>
              </w:rPr>
              <w:t>75</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90"/>
              <w:ind w:left="113"/>
              <w:rPr>
                <w:rFonts w:ascii="Times New Roman"/>
                <w:sz w:val="21"/>
              </w:rPr>
            </w:pPr>
            <w:r>
              <w:rPr>
                <w:rFonts w:ascii="Times New Roman"/>
                <w:sz w:val="21"/>
              </w:rPr>
              <w:t>1153</w:t>
            </w:r>
          </w:p>
        </w:tc>
        <w:tc>
          <w:tcPr>
            <w:tcW w:w="1984" w:type="dxa"/>
            <w:tcBorders>
              <w:top w:val="single" w:sz="8" w:space="0" w:color="000000"/>
              <w:left w:val="single" w:sz="8" w:space="0" w:color="000000"/>
              <w:bottom w:val="single" w:sz="8" w:space="0" w:color="000000"/>
            </w:tcBorders>
          </w:tcPr>
          <w:p>
            <w:pPr>
              <w:pStyle w:val="TableParagraph"/>
              <w:spacing w:before="176"/>
              <w:ind w:left="112"/>
              <w:rPr>
                <w:sz w:val="21"/>
              </w:rPr>
            </w:pPr>
            <w:r>
              <w:rPr>
                <w:sz w:val="21"/>
              </w:rPr>
              <w:t>——</w:t>
            </w:r>
          </w:p>
        </w:tc>
      </w:tr>
      <w:tr>
        <w:trPr>
          <w:trHeight w:val="624"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rPr>
                <w:rFonts w:ascii="Times New Roman"/>
                <w:sz w:val="16"/>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spacing w:before="189"/>
              <w:ind w:left="112"/>
              <w:rPr>
                <w:rFonts w:ascii="Times New Roman"/>
                <w:sz w:val="21"/>
              </w:rPr>
            </w:pPr>
            <w:r>
              <w:rPr>
                <w:rFonts w:ascii="Times New Roman"/>
                <w:w w:val="99"/>
                <w:sz w:val="21"/>
              </w:rPr>
              <w:t>3</w:t>
            </w:r>
          </w:p>
        </w:tc>
        <w:tc>
          <w:tcPr>
            <w:tcW w:w="2819" w:type="dxa"/>
            <w:tcBorders>
              <w:top w:val="single" w:sz="8" w:space="0" w:color="000000"/>
              <w:left w:val="single" w:sz="8" w:space="0" w:color="000000"/>
              <w:bottom w:val="single" w:sz="8" w:space="0" w:color="000000"/>
              <w:right w:val="single" w:sz="8" w:space="0" w:color="000000"/>
            </w:tcBorders>
          </w:tcPr>
          <w:p>
            <w:pPr>
              <w:pStyle w:val="TableParagraph"/>
              <w:spacing w:before="19"/>
              <w:ind w:left="111"/>
              <w:rPr>
                <w:sz w:val="21"/>
              </w:rPr>
            </w:pPr>
            <w:r>
              <w:rPr>
                <w:sz w:val="21"/>
              </w:rPr>
              <w:t>在校生服务“走出去”企业</w:t>
            </w:r>
          </w:p>
          <w:p>
            <w:pPr>
              <w:pStyle w:val="TableParagraph"/>
              <w:spacing w:before="43"/>
              <w:ind w:left="111"/>
              <w:rPr>
                <w:sz w:val="21"/>
              </w:rPr>
            </w:pPr>
            <w:r>
              <w:rPr>
                <w:sz w:val="21"/>
              </w:rPr>
              <w:t>国</w:t>
            </w:r>
            <w:r>
              <w:rPr>
                <w:rFonts w:ascii="Times New Roman" w:eastAsia="Times New Roman"/>
                <w:sz w:val="21"/>
              </w:rPr>
              <w:t>(</w:t>
            </w:r>
            <w:r>
              <w:rPr>
                <w:sz w:val="21"/>
              </w:rPr>
              <w:t>境</w:t>
            </w:r>
            <w:r>
              <w:rPr>
                <w:rFonts w:ascii="Times New Roman" w:eastAsia="Times New Roman"/>
                <w:sz w:val="21"/>
              </w:rPr>
              <w:t>)</w:t>
            </w:r>
            <w:r>
              <w:rPr>
                <w:sz w:val="21"/>
              </w:rPr>
              <w:t>外实习时间</w:t>
            </w:r>
          </w:p>
        </w:tc>
        <w:tc>
          <w:tcPr>
            <w:tcW w:w="740" w:type="dxa"/>
            <w:tcBorders>
              <w:top w:val="single" w:sz="8" w:space="0" w:color="000000"/>
              <w:left w:val="single" w:sz="8" w:space="0" w:color="000000"/>
              <w:bottom w:val="single" w:sz="8" w:space="0" w:color="000000"/>
              <w:right w:val="single" w:sz="8" w:space="0" w:color="000000"/>
            </w:tcBorders>
          </w:tcPr>
          <w:p>
            <w:pPr>
              <w:pStyle w:val="TableParagraph"/>
              <w:spacing w:before="175"/>
              <w:ind w:left="112"/>
              <w:rPr>
                <w:sz w:val="21"/>
              </w:rPr>
            </w:pPr>
            <w:r>
              <w:rPr>
                <w:sz w:val="21"/>
              </w:rPr>
              <w:t>人日</w:t>
            </w:r>
          </w:p>
        </w:tc>
        <w:tc>
          <w:tcPr>
            <w:tcW w:w="1057" w:type="dxa"/>
            <w:tcBorders>
              <w:top w:val="single" w:sz="8" w:space="0" w:color="000000"/>
              <w:left w:val="single" w:sz="8" w:space="0" w:color="000000"/>
              <w:bottom w:val="single" w:sz="8" w:space="0" w:color="000000"/>
              <w:right w:val="single" w:sz="8" w:space="0" w:color="000000"/>
            </w:tcBorders>
          </w:tcPr>
          <w:p>
            <w:pPr>
              <w:pStyle w:val="TableParagraph"/>
              <w:spacing w:before="189"/>
              <w:ind w:left="112"/>
              <w:rPr>
                <w:rFonts w:ascii="Times New Roman"/>
                <w:sz w:val="21"/>
              </w:rPr>
            </w:pPr>
            <w:r>
              <w:rPr>
                <w:rFonts w:ascii="Times New Roman"/>
                <w:sz w:val="21"/>
              </w:rPr>
              <w:t>405</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89"/>
              <w:ind w:left="113"/>
              <w:rPr>
                <w:rFonts w:ascii="Times New Roman"/>
                <w:sz w:val="21"/>
              </w:rPr>
            </w:pPr>
            <w:r>
              <w:rPr>
                <w:rFonts w:ascii="Times New Roman"/>
                <w:sz w:val="21"/>
              </w:rPr>
              <w:t>1297</w:t>
            </w:r>
          </w:p>
        </w:tc>
        <w:tc>
          <w:tcPr>
            <w:tcW w:w="1984" w:type="dxa"/>
            <w:tcBorders>
              <w:top w:val="single" w:sz="8" w:space="0" w:color="000000"/>
              <w:left w:val="single" w:sz="8" w:space="0" w:color="000000"/>
              <w:bottom w:val="single" w:sz="8" w:space="0" w:color="000000"/>
            </w:tcBorders>
          </w:tcPr>
          <w:p>
            <w:pPr>
              <w:pStyle w:val="TableParagraph"/>
              <w:spacing w:before="175"/>
              <w:ind w:left="112"/>
              <w:rPr>
                <w:sz w:val="21"/>
              </w:rPr>
            </w:pPr>
            <w:r>
              <w:rPr>
                <w:sz w:val="21"/>
              </w:rPr>
              <w:t>——</w:t>
            </w:r>
          </w:p>
        </w:tc>
      </w:tr>
      <w:tr>
        <w:trPr>
          <w:trHeight w:val="623"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rPr>
                <w:rFonts w:ascii="Times New Roman"/>
                <w:sz w:val="16"/>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spacing w:before="191"/>
              <w:ind w:left="112"/>
              <w:rPr>
                <w:rFonts w:ascii="Times New Roman"/>
                <w:sz w:val="21"/>
              </w:rPr>
            </w:pPr>
            <w:r>
              <w:rPr>
                <w:rFonts w:ascii="Times New Roman"/>
                <w:w w:val="99"/>
                <w:sz w:val="21"/>
              </w:rPr>
              <w:t>4</w:t>
            </w:r>
          </w:p>
        </w:tc>
        <w:tc>
          <w:tcPr>
            <w:tcW w:w="2819" w:type="dxa"/>
            <w:tcBorders>
              <w:top w:val="single" w:sz="8" w:space="0" w:color="000000"/>
              <w:left w:val="single" w:sz="8" w:space="0" w:color="000000"/>
              <w:bottom w:val="single" w:sz="8" w:space="0" w:color="000000"/>
              <w:right w:val="single" w:sz="8" w:space="0" w:color="000000"/>
            </w:tcBorders>
          </w:tcPr>
          <w:p>
            <w:pPr>
              <w:pStyle w:val="TableParagraph"/>
              <w:spacing w:before="21"/>
              <w:ind w:left="111"/>
              <w:rPr>
                <w:sz w:val="21"/>
              </w:rPr>
            </w:pPr>
            <w:r>
              <w:rPr>
                <w:sz w:val="21"/>
              </w:rPr>
              <w:t>专任教师赴国</w:t>
            </w:r>
            <w:r>
              <w:rPr>
                <w:rFonts w:ascii="Times New Roman" w:eastAsia="Times New Roman"/>
                <w:sz w:val="21"/>
              </w:rPr>
              <w:t>(</w:t>
            </w:r>
            <w:r>
              <w:rPr>
                <w:sz w:val="21"/>
              </w:rPr>
              <w:t>境</w:t>
            </w:r>
            <w:r>
              <w:rPr>
                <w:rFonts w:ascii="Times New Roman" w:eastAsia="Times New Roman"/>
                <w:sz w:val="21"/>
              </w:rPr>
              <w:t>)</w:t>
            </w:r>
            <w:r>
              <w:rPr>
                <w:sz w:val="21"/>
              </w:rPr>
              <w:t>外指导和</w:t>
            </w:r>
          </w:p>
          <w:p>
            <w:pPr>
              <w:pStyle w:val="TableParagraph"/>
              <w:spacing w:before="43"/>
              <w:ind w:left="111"/>
              <w:rPr>
                <w:sz w:val="21"/>
              </w:rPr>
            </w:pPr>
            <w:r>
              <w:rPr>
                <w:sz w:val="21"/>
              </w:rPr>
              <w:t>开展培训时间</w:t>
            </w:r>
          </w:p>
        </w:tc>
        <w:tc>
          <w:tcPr>
            <w:tcW w:w="740" w:type="dxa"/>
            <w:tcBorders>
              <w:top w:val="single" w:sz="8" w:space="0" w:color="000000"/>
              <w:left w:val="single" w:sz="8" w:space="0" w:color="000000"/>
              <w:bottom w:val="single" w:sz="8" w:space="0" w:color="000000"/>
              <w:right w:val="single" w:sz="8" w:space="0" w:color="000000"/>
            </w:tcBorders>
          </w:tcPr>
          <w:p>
            <w:pPr>
              <w:pStyle w:val="TableParagraph"/>
              <w:spacing w:before="177"/>
              <w:ind w:left="112"/>
              <w:rPr>
                <w:sz w:val="21"/>
              </w:rPr>
            </w:pPr>
            <w:r>
              <w:rPr>
                <w:sz w:val="21"/>
              </w:rPr>
              <w:t>人日</w:t>
            </w:r>
          </w:p>
        </w:tc>
        <w:tc>
          <w:tcPr>
            <w:tcW w:w="1057" w:type="dxa"/>
            <w:tcBorders>
              <w:top w:val="single" w:sz="8" w:space="0" w:color="000000"/>
              <w:left w:val="single" w:sz="8" w:space="0" w:color="000000"/>
              <w:bottom w:val="single" w:sz="8" w:space="0" w:color="000000"/>
              <w:right w:val="single" w:sz="8" w:space="0" w:color="000000"/>
            </w:tcBorders>
          </w:tcPr>
          <w:p>
            <w:pPr>
              <w:pStyle w:val="TableParagraph"/>
              <w:spacing w:before="191"/>
              <w:ind w:left="112"/>
              <w:rPr>
                <w:rFonts w:ascii="Times New Roman"/>
                <w:sz w:val="21"/>
              </w:rPr>
            </w:pPr>
            <w:r>
              <w:rPr>
                <w:rFonts w:ascii="Times New Roman"/>
                <w:sz w:val="21"/>
              </w:rPr>
              <w:t>441</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91"/>
              <w:ind w:left="113"/>
              <w:rPr>
                <w:rFonts w:ascii="Times New Roman"/>
                <w:sz w:val="21"/>
              </w:rPr>
            </w:pPr>
            <w:r>
              <w:rPr>
                <w:rFonts w:ascii="Times New Roman"/>
                <w:sz w:val="21"/>
              </w:rPr>
              <w:t>727</w:t>
            </w:r>
          </w:p>
        </w:tc>
        <w:tc>
          <w:tcPr>
            <w:tcW w:w="1984" w:type="dxa"/>
            <w:tcBorders>
              <w:top w:val="single" w:sz="8" w:space="0" w:color="000000"/>
              <w:left w:val="single" w:sz="8" w:space="0" w:color="000000"/>
              <w:bottom w:val="single" w:sz="8" w:space="0" w:color="000000"/>
            </w:tcBorders>
          </w:tcPr>
          <w:p>
            <w:pPr>
              <w:pStyle w:val="TableParagraph"/>
              <w:spacing w:before="177"/>
              <w:ind w:left="112"/>
              <w:rPr>
                <w:sz w:val="21"/>
              </w:rPr>
            </w:pPr>
            <w:r>
              <w:rPr>
                <w:sz w:val="21"/>
              </w:rPr>
              <w:t>——</w:t>
            </w:r>
          </w:p>
        </w:tc>
      </w:tr>
      <w:tr>
        <w:trPr>
          <w:trHeight w:val="274"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rPr>
                <w:rFonts w:ascii="Times New Roman"/>
                <w:sz w:val="16"/>
              </w:rPr>
            </w:pPr>
          </w:p>
        </w:tc>
        <w:tc>
          <w:tcPr>
            <w:tcW w:w="452"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2819"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74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05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992"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984" w:type="dxa"/>
            <w:tcBorders>
              <w:top w:val="single" w:sz="8" w:space="0" w:color="000000"/>
              <w:left w:val="single" w:sz="8" w:space="0" w:color="000000"/>
              <w:bottom w:val="nil"/>
            </w:tcBorders>
          </w:tcPr>
          <w:p>
            <w:pPr>
              <w:pStyle w:val="TableParagraph"/>
              <w:spacing w:line="177" w:lineRule="exact" w:before="78"/>
              <w:ind w:left="112"/>
              <w:rPr>
                <w:sz w:val="15"/>
              </w:rPr>
            </w:pPr>
            <w:r>
              <w:rPr>
                <w:rFonts w:ascii="Times New Roman" w:eastAsia="Times New Roman"/>
                <w:sz w:val="15"/>
              </w:rPr>
              <w:t>1</w:t>
            </w:r>
            <w:r>
              <w:rPr>
                <w:sz w:val="15"/>
              </w:rPr>
              <w:t>．欧阳广教授在巴基斯坦</w:t>
            </w:r>
          </w:p>
        </w:tc>
      </w:tr>
      <w:tr>
        <w:trPr>
          <w:trHeight w:val="196"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7" w:lineRule="exact"/>
              <w:ind w:left="112"/>
              <w:rPr>
                <w:sz w:val="15"/>
              </w:rPr>
            </w:pPr>
            <w:r>
              <w:rPr>
                <w:rFonts w:ascii="Times New Roman" w:eastAsia="Times New Roman"/>
                <w:sz w:val="15"/>
              </w:rPr>
              <w:t>Infinity </w:t>
            </w:r>
            <w:r>
              <w:rPr>
                <w:sz w:val="15"/>
              </w:rPr>
              <w:t>工程学院担任客座</w:t>
            </w:r>
          </w:p>
        </w:tc>
      </w:tr>
      <w:tr>
        <w:trPr>
          <w:trHeight w:val="186"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66" w:lineRule="exact"/>
              <w:ind w:left="112"/>
              <w:rPr>
                <w:sz w:val="15"/>
              </w:rPr>
            </w:pPr>
            <w:r>
              <w:rPr>
                <w:sz w:val="15"/>
              </w:rPr>
              <w:t>教授；</w:t>
            </w:r>
          </w:p>
        </w:tc>
      </w:tr>
      <w:tr>
        <w:trPr>
          <w:trHeight w:val="200"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7" w:lineRule="exact" w:before="3"/>
              <w:ind w:left="112"/>
              <w:rPr>
                <w:sz w:val="15"/>
              </w:rPr>
            </w:pPr>
            <w:r>
              <w:rPr>
                <w:rFonts w:ascii="Times New Roman" w:eastAsia="Times New Roman"/>
                <w:sz w:val="15"/>
              </w:rPr>
              <w:t>2</w:t>
            </w:r>
            <w:r>
              <w:rPr>
                <w:sz w:val="15"/>
              </w:rPr>
              <w:t>．田伟军教授在巴基斯坦</w:t>
            </w:r>
          </w:p>
        </w:tc>
      </w:tr>
      <w:tr>
        <w:trPr>
          <w:trHeight w:val="196"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7" w:lineRule="exact"/>
              <w:ind w:left="112"/>
              <w:rPr>
                <w:sz w:val="15"/>
              </w:rPr>
            </w:pPr>
            <w:r>
              <w:rPr>
                <w:rFonts w:ascii="Times New Roman" w:eastAsia="Times New Roman"/>
                <w:sz w:val="15"/>
              </w:rPr>
              <w:t>Infinity </w:t>
            </w:r>
            <w:r>
              <w:rPr>
                <w:sz w:val="15"/>
              </w:rPr>
              <w:t>工程学院担任客座</w:t>
            </w:r>
          </w:p>
        </w:tc>
      </w:tr>
      <w:tr>
        <w:trPr>
          <w:trHeight w:val="186"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66" w:lineRule="exact"/>
              <w:ind w:left="112"/>
              <w:rPr>
                <w:sz w:val="15"/>
              </w:rPr>
            </w:pPr>
            <w:r>
              <w:rPr>
                <w:sz w:val="15"/>
              </w:rPr>
              <w:t>教授；</w:t>
            </w:r>
          </w:p>
        </w:tc>
      </w:tr>
      <w:tr>
        <w:trPr>
          <w:trHeight w:val="200"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7" w:lineRule="exact" w:before="3"/>
              <w:ind w:left="112"/>
              <w:rPr>
                <w:sz w:val="15"/>
              </w:rPr>
            </w:pPr>
            <w:r>
              <w:rPr>
                <w:rFonts w:ascii="Times New Roman" w:eastAsia="Times New Roman"/>
                <w:sz w:val="15"/>
              </w:rPr>
              <w:t>3</w:t>
            </w:r>
            <w:r>
              <w:rPr>
                <w:sz w:val="15"/>
              </w:rPr>
              <w:t>．谭文培教授在巴基斯坦</w:t>
            </w:r>
          </w:p>
        </w:tc>
      </w:tr>
      <w:tr>
        <w:trPr>
          <w:trHeight w:val="196"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7" w:lineRule="exact"/>
              <w:ind w:left="112"/>
              <w:rPr>
                <w:sz w:val="15"/>
              </w:rPr>
            </w:pPr>
            <w:r>
              <w:rPr>
                <w:rFonts w:ascii="Times New Roman" w:eastAsia="Times New Roman"/>
                <w:sz w:val="15"/>
              </w:rPr>
              <w:t>Infinity </w:t>
            </w:r>
            <w:r>
              <w:rPr>
                <w:sz w:val="15"/>
              </w:rPr>
              <w:t>工程学院担任客座</w:t>
            </w:r>
          </w:p>
        </w:tc>
      </w:tr>
      <w:tr>
        <w:trPr>
          <w:trHeight w:val="186"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66" w:lineRule="exact"/>
              <w:ind w:left="112"/>
              <w:rPr>
                <w:sz w:val="15"/>
              </w:rPr>
            </w:pPr>
            <w:r>
              <w:rPr>
                <w:sz w:val="15"/>
              </w:rPr>
              <w:t>教授；</w:t>
            </w:r>
          </w:p>
        </w:tc>
      </w:tr>
      <w:tr>
        <w:trPr>
          <w:trHeight w:val="981"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rPr>
                <w:rFonts w:ascii="黑体"/>
                <w:b/>
                <w:sz w:val="20"/>
              </w:rPr>
            </w:pPr>
          </w:p>
          <w:p>
            <w:pPr>
              <w:pStyle w:val="TableParagraph"/>
              <w:spacing w:before="140"/>
              <w:ind w:left="113"/>
              <w:rPr>
                <w:sz w:val="21"/>
              </w:rPr>
            </w:pPr>
            <w:r>
              <w:rPr>
                <w:spacing w:val="15"/>
                <w:sz w:val="21"/>
              </w:rPr>
              <w:t>湖 南</w:t>
            </w:r>
          </w:p>
          <w:p>
            <w:pPr>
              <w:pStyle w:val="TableParagraph"/>
              <w:spacing w:line="252" w:lineRule="exact" w:before="43"/>
              <w:ind w:left="113"/>
              <w:rPr>
                <w:sz w:val="21"/>
              </w:rPr>
            </w:pPr>
            <w:r>
              <w:rPr>
                <w:spacing w:val="15"/>
                <w:sz w:val="21"/>
              </w:rPr>
              <w:t>化 工</w:t>
            </w:r>
          </w:p>
        </w:tc>
        <w:tc>
          <w:tcPr>
            <w:tcW w:w="452" w:type="dxa"/>
            <w:tcBorders>
              <w:top w:val="nil"/>
              <w:left w:val="single" w:sz="8" w:space="0" w:color="000000"/>
              <w:bottom w:val="nil"/>
              <w:right w:val="single" w:sz="8" w:space="0" w:color="000000"/>
            </w:tcBorders>
          </w:tcPr>
          <w:p>
            <w:pPr>
              <w:pStyle w:val="TableParagraph"/>
              <w:spacing w:before="175"/>
              <w:ind w:left="112"/>
              <w:rPr>
                <w:rFonts w:ascii="Times New Roman"/>
                <w:sz w:val="21"/>
              </w:rPr>
            </w:pPr>
            <w:r>
              <w:rPr>
                <w:rFonts w:ascii="Times New Roman"/>
                <w:w w:val="99"/>
                <w:sz w:val="21"/>
              </w:rPr>
              <w:t>5</w:t>
            </w:r>
          </w:p>
        </w:tc>
        <w:tc>
          <w:tcPr>
            <w:tcW w:w="2819" w:type="dxa"/>
            <w:tcBorders>
              <w:top w:val="nil"/>
              <w:left w:val="single" w:sz="8" w:space="0" w:color="000000"/>
              <w:bottom w:val="nil"/>
              <w:right w:val="single" w:sz="8" w:space="0" w:color="000000"/>
            </w:tcBorders>
          </w:tcPr>
          <w:p>
            <w:pPr>
              <w:pStyle w:val="TableParagraph"/>
              <w:spacing w:line="278" w:lineRule="auto" w:before="5"/>
              <w:ind w:left="111" w:right="81"/>
              <w:rPr>
                <w:sz w:val="21"/>
              </w:rPr>
            </w:pPr>
            <w:r>
              <w:rPr>
                <w:sz w:val="21"/>
              </w:rPr>
              <w:t>在国</w:t>
            </w:r>
            <w:r>
              <w:rPr>
                <w:rFonts w:ascii="Times New Roman" w:eastAsia="Times New Roman"/>
                <w:sz w:val="21"/>
              </w:rPr>
              <w:t>(</w:t>
            </w:r>
            <w:r>
              <w:rPr>
                <w:sz w:val="21"/>
              </w:rPr>
              <w:t>境</w:t>
            </w:r>
            <w:r>
              <w:rPr>
                <w:rFonts w:ascii="Times New Roman" w:eastAsia="Times New Roman"/>
                <w:sz w:val="21"/>
              </w:rPr>
              <w:t>)</w:t>
            </w:r>
            <w:r>
              <w:rPr>
                <w:sz w:val="21"/>
              </w:rPr>
              <w:t>外组织担任职务的专任教师人数</w:t>
            </w:r>
          </w:p>
        </w:tc>
        <w:tc>
          <w:tcPr>
            <w:tcW w:w="740" w:type="dxa"/>
            <w:tcBorders>
              <w:top w:val="nil"/>
              <w:left w:val="single" w:sz="8" w:space="0" w:color="000000"/>
              <w:bottom w:val="nil"/>
              <w:right w:val="single" w:sz="8" w:space="0" w:color="000000"/>
            </w:tcBorders>
          </w:tcPr>
          <w:p>
            <w:pPr>
              <w:pStyle w:val="TableParagraph"/>
              <w:spacing w:before="161"/>
              <w:ind w:left="112"/>
              <w:rPr>
                <w:sz w:val="21"/>
              </w:rPr>
            </w:pPr>
            <w:r>
              <w:rPr>
                <w:w w:val="99"/>
                <w:sz w:val="21"/>
              </w:rPr>
              <w:t>人</w:t>
            </w:r>
          </w:p>
        </w:tc>
        <w:tc>
          <w:tcPr>
            <w:tcW w:w="1057" w:type="dxa"/>
            <w:tcBorders>
              <w:top w:val="nil"/>
              <w:left w:val="single" w:sz="8" w:space="0" w:color="000000"/>
              <w:bottom w:val="nil"/>
              <w:right w:val="single" w:sz="8" w:space="0" w:color="000000"/>
            </w:tcBorders>
          </w:tcPr>
          <w:p>
            <w:pPr>
              <w:pStyle w:val="TableParagraph"/>
              <w:spacing w:before="175"/>
              <w:ind w:left="112"/>
              <w:rPr>
                <w:rFonts w:ascii="Times New Roman"/>
                <w:sz w:val="21"/>
              </w:rPr>
            </w:pPr>
            <w:r>
              <w:rPr>
                <w:rFonts w:ascii="Times New Roman"/>
                <w:w w:val="99"/>
                <w:sz w:val="21"/>
              </w:rPr>
              <w:t>0</w:t>
            </w:r>
          </w:p>
        </w:tc>
        <w:tc>
          <w:tcPr>
            <w:tcW w:w="992" w:type="dxa"/>
            <w:tcBorders>
              <w:top w:val="nil"/>
              <w:left w:val="single" w:sz="8" w:space="0" w:color="000000"/>
              <w:bottom w:val="nil"/>
              <w:right w:val="single" w:sz="8" w:space="0" w:color="000000"/>
            </w:tcBorders>
          </w:tcPr>
          <w:p>
            <w:pPr>
              <w:pStyle w:val="TableParagraph"/>
              <w:spacing w:before="175"/>
              <w:ind w:left="113"/>
              <w:rPr>
                <w:rFonts w:ascii="Times New Roman"/>
                <w:sz w:val="21"/>
              </w:rPr>
            </w:pPr>
            <w:r>
              <w:rPr>
                <w:rFonts w:ascii="Times New Roman"/>
                <w:w w:val="99"/>
                <w:sz w:val="21"/>
              </w:rPr>
              <w:t>7</w:t>
            </w:r>
          </w:p>
        </w:tc>
        <w:tc>
          <w:tcPr>
            <w:tcW w:w="1984" w:type="dxa"/>
            <w:tcBorders>
              <w:top w:val="nil"/>
              <w:left w:val="single" w:sz="8" w:space="0" w:color="000000"/>
              <w:bottom w:val="nil"/>
            </w:tcBorders>
          </w:tcPr>
          <w:p>
            <w:pPr>
              <w:pStyle w:val="TableParagraph"/>
              <w:numPr>
                <w:ilvl w:val="0"/>
                <w:numId w:val="9"/>
              </w:numPr>
              <w:tabs>
                <w:tab w:pos="343" w:val="left" w:leader="none"/>
              </w:tabs>
              <w:spacing w:line="242" w:lineRule="auto" w:before="3" w:after="0"/>
              <w:ind w:left="112" w:right="75" w:firstLine="0"/>
              <w:jc w:val="both"/>
              <w:rPr>
                <w:sz w:val="15"/>
              </w:rPr>
            </w:pPr>
            <w:r>
              <w:rPr>
                <w:spacing w:val="3"/>
                <w:w w:val="95"/>
                <w:sz w:val="15"/>
              </w:rPr>
              <w:t>向寓华教授在巴基斯坦</w:t>
            </w:r>
            <w:r>
              <w:rPr>
                <w:rFonts w:ascii="Times New Roman" w:eastAsia="Times New Roman"/>
                <w:spacing w:val="3"/>
                <w:sz w:val="15"/>
              </w:rPr>
              <w:t>Infinity</w:t>
            </w:r>
            <w:r>
              <w:rPr>
                <w:rFonts w:ascii="Times New Roman" w:eastAsia="Times New Roman"/>
                <w:spacing w:val="-1"/>
                <w:sz w:val="15"/>
              </w:rPr>
              <w:t> </w:t>
            </w:r>
            <w:r>
              <w:rPr>
                <w:spacing w:val="8"/>
                <w:sz w:val="15"/>
              </w:rPr>
              <w:t>工程学院担任客座教授；</w:t>
            </w:r>
          </w:p>
          <w:p>
            <w:pPr>
              <w:pStyle w:val="TableParagraph"/>
              <w:numPr>
                <w:ilvl w:val="0"/>
                <w:numId w:val="9"/>
              </w:numPr>
              <w:tabs>
                <w:tab w:pos="343" w:val="left" w:leader="none"/>
              </w:tabs>
              <w:spacing w:line="190" w:lineRule="atLeast" w:before="3" w:after="0"/>
              <w:ind w:left="112" w:right="74" w:firstLine="0"/>
              <w:jc w:val="both"/>
              <w:rPr>
                <w:sz w:val="15"/>
              </w:rPr>
            </w:pPr>
            <w:r>
              <w:rPr>
                <w:spacing w:val="3"/>
                <w:w w:val="95"/>
                <w:sz w:val="15"/>
              </w:rPr>
              <w:t>陈杰山副教授在巴基斯</w:t>
            </w:r>
            <w:r>
              <w:rPr>
                <w:spacing w:val="-18"/>
                <w:sz w:val="15"/>
              </w:rPr>
              <w:t>坦 </w:t>
            </w:r>
            <w:r>
              <w:rPr>
                <w:rFonts w:ascii="Times New Roman" w:eastAsia="Times New Roman"/>
                <w:sz w:val="15"/>
              </w:rPr>
              <w:t>Infinity</w:t>
            </w:r>
            <w:r>
              <w:rPr>
                <w:rFonts w:ascii="Times New Roman" w:eastAsia="Times New Roman"/>
                <w:spacing w:val="2"/>
                <w:sz w:val="15"/>
              </w:rPr>
              <w:t> </w:t>
            </w:r>
            <w:r>
              <w:rPr>
                <w:spacing w:val="3"/>
                <w:sz w:val="15"/>
              </w:rPr>
              <w:t>工程学院担任客</w:t>
            </w:r>
          </w:p>
        </w:tc>
      </w:tr>
      <w:tr>
        <w:trPr>
          <w:trHeight w:val="377" w:hRule="atLeast"/>
        </w:trPr>
        <w:tc>
          <w:tcPr>
            <w:tcW w:w="788" w:type="dxa"/>
            <w:tcBorders>
              <w:top w:val="nil"/>
              <w:bottom w:val="nil"/>
              <w:right w:val="single" w:sz="8" w:space="0" w:color="000000"/>
            </w:tcBorders>
          </w:tcPr>
          <w:p>
            <w:pPr>
              <w:pStyle w:val="TableParagraph"/>
              <w:spacing w:before="53"/>
              <w:ind w:left="106"/>
              <w:rPr>
                <w:rFonts w:ascii="Times New Roman"/>
                <w:sz w:val="21"/>
              </w:rPr>
            </w:pPr>
            <w:r>
              <w:rPr>
                <w:rFonts w:ascii="Times New Roman"/>
                <w:sz w:val="21"/>
              </w:rPr>
              <w:t>13043</w:t>
            </w:r>
          </w:p>
        </w:tc>
        <w:tc>
          <w:tcPr>
            <w:tcW w:w="788" w:type="dxa"/>
            <w:tcBorders>
              <w:top w:val="nil"/>
              <w:left w:val="single" w:sz="8" w:space="0" w:color="000000"/>
              <w:bottom w:val="nil"/>
              <w:right w:val="single" w:sz="8" w:space="0" w:color="000000"/>
            </w:tcBorders>
          </w:tcPr>
          <w:p>
            <w:pPr>
              <w:pStyle w:val="TableParagraph"/>
              <w:spacing w:before="39"/>
              <w:ind w:left="113"/>
              <w:rPr>
                <w:sz w:val="21"/>
              </w:rPr>
            </w:pPr>
            <w:r>
              <w:rPr>
                <w:sz w:val="21"/>
              </w:rPr>
              <w:t>职 业</w:t>
            </w:r>
          </w:p>
        </w:tc>
        <w:tc>
          <w:tcPr>
            <w:tcW w:w="452" w:type="dxa"/>
            <w:tcBorders>
              <w:top w:val="nil"/>
              <w:left w:val="single" w:sz="8" w:space="0" w:color="000000"/>
              <w:bottom w:val="nil"/>
              <w:right w:val="single" w:sz="8" w:space="0" w:color="000000"/>
            </w:tcBorders>
          </w:tcPr>
          <w:p>
            <w:pPr>
              <w:pStyle w:val="TableParagraph"/>
              <w:rPr>
                <w:rFonts w:ascii="Times New Roman"/>
                <w:sz w:val="16"/>
              </w:rPr>
            </w:pPr>
          </w:p>
        </w:tc>
        <w:tc>
          <w:tcPr>
            <w:tcW w:w="2819" w:type="dxa"/>
            <w:tcBorders>
              <w:top w:val="nil"/>
              <w:left w:val="single" w:sz="8" w:space="0" w:color="000000"/>
              <w:bottom w:val="nil"/>
              <w:right w:val="single" w:sz="8" w:space="0" w:color="000000"/>
            </w:tcBorders>
          </w:tcPr>
          <w:p>
            <w:pPr>
              <w:pStyle w:val="TableParagraph"/>
              <w:rPr>
                <w:rFonts w:ascii="Times New Roman"/>
                <w:sz w:val="16"/>
              </w:rPr>
            </w:pPr>
          </w:p>
        </w:tc>
        <w:tc>
          <w:tcPr>
            <w:tcW w:w="740" w:type="dxa"/>
            <w:tcBorders>
              <w:top w:val="nil"/>
              <w:left w:val="single" w:sz="8" w:space="0" w:color="000000"/>
              <w:bottom w:val="nil"/>
              <w:right w:val="single" w:sz="8" w:space="0" w:color="000000"/>
            </w:tcBorders>
          </w:tcPr>
          <w:p>
            <w:pPr>
              <w:pStyle w:val="TableParagraph"/>
              <w:rPr>
                <w:rFonts w:ascii="Times New Roman"/>
                <w:sz w:val="16"/>
              </w:rPr>
            </w:pPr>
          </w:p>
        </w:tc>
        <w:tc>
          <w:tcPr>
            <w:tcW w:w="1057" w:type="dxa"/>
            <w:tcBorders>
              <w:top w:val="nil"/>
              <w:left w:val="single" w:sz="8" w:space="0" w:color="000000"/>
              <w:bottom w:val="nil"/>
              <w:right w:val="single" w:sz="8" w:space="0" w:color="000000"/>
            </w:tcBorders>
          </w:tcPr>
          <w:p>
            <w:pPr>
              <w:pStyle w:val="TableParagraph"/>
              <w:rPr>
                <w:rFonts w:ascii="Times New Roman"/>
                <w:sz w:val="16"/>
              </w:rPr>
            </w:pPr>
          </w:p>
        </w:tc>
        <w:tc>
          <w:tcPr>
            <w:tcW w:w="992" w:type="dxa"/>
            <w:tcBorders>
              <w:top w:val="nil"/>
              <w:left w:val="single" w:sz="8" w:space="0" w:color="000000"/>
              <w:bottom w:val="nil"/>
              <w:right w:val="single" w:sz="8" w:space="0" w:color="000000"/>
            </w:tcBorders>
          </w:tcPr>
          <w:p>
            <w:pPr>
              <w:pStyle w:val="TableParagraph"/>
              <w:rPr>
                <w:rFonts w:ascii="Times New Roman"/>
                <w:sz w:val="16"/>
              </w:rPr>
            </w:pPr>
          </w:p>
        </w:tc>
        <w:tc>
          <w:tcPr>
            <w:tcW w:w="1984" w:type="dxa"/>
            <w:tcBorders>
              <w:top w:val="nil"/>
              <w:left w:val="single" w:sz="8" w:space="0" w:color="000000"/>
              <w:bottom w:val="nil"/>
            </w:tcBorders>
          </w:tcPr>
          <w:p>
            <w:pPr>
              <w:pStyle w:val="TableParagraph"/>
              <w:spacing w:line="188" w:lineRule="exact"/>
              <w:ind w:left="112"/>
              <w:rPr>
                <w:sz w:val="15"/>
              </w:rPr>
            </w:pPr>
            <w:r>
              <w:rPr>
                <w:sz w:val="15"/>
              </w:rPr>
              <w:t>座教授；</w:t>
            </w:r>
          </w:p>
          <w:p>
            <w:pPr>
              <w:pStyle w:val="TableParagraph"/>
              <w:spacing w:line="167" w:lineRule="exact" w:before="2"/>
              <w:ind w:left="112"/>
              <w:rPr>
                <w:sz w:val="15"/>
              </w:rPr>
            </w:pPr>
            <w:r>
              <w:rPr>
                <w:rFonts w:ascii="Times New Roman" w:eastAsia="Times New Roman"/>
                <w:sz w:val="15"/>
              </w:rPr>
              <w:t>6</w:t>
            </w:r>
            <w:r>
              <w:rPr>
                <w:sz w:val="15"/>
              </w:rPr>
              <w:t>．兰立新副教授在巴基斯</w:t>
            </w:r>
          </w:p>
        </w:tc>
      </w:tr>
      <w:tr>
        <w:trPr>
          <w:trHeight w:val="218" w:hRule="atLeast"/>
        </w:trPr>
        <w:tc>
          <w:tcPr>
            <w:tcW w:w="788" w:type="dxa"/>
            <w:tcBorders>
              <w:top w:val="nil"/>
              <w:bottom w:val="nil"/>
              <w:right w:val="single" w:sz="8" w:space="0" w:color="000000"/>
            </w:tcBorders>
          </w:tcPr>
          <w:p>
            <w:pPr>
              <w:pStyle w:val="TableParagraph"/>
              <w:rPr>
                <w:rFonts w:ascii="Times New Roman"/>
                <w:sz w:val="14"/>
              </w:rPr>
            </w:pPr>
          </w:p>
        </w:tc>
        <w:tc>
          <w:tcPr>
            <w:tcW w:w="788" w:type="dxa"/>
            <w:tcBorders>
              <w:top w:val="nil"/>
              <w:left w:val="single" w:sz="8" w:space="0" w:color="000000"/>
              <w:bottom w:val="nil"/>
              <w:right w:val="single" w:sz="8" w:space="0" w:color="000000"/>
            </w:tcBorders>
          </w:tcPr>
          <w:p>
            <w:pPr>
              <w:pStyle w:val="TableParagraph"/>
              <w:spacing w:line="199" w:lineRule="exact"/>
              <w:ind w:left="113"/>
              <w:rPr>
                <w:sz w:val="21"/>
              </w:rPr>
            </w:pPr>
            <w:r>
              <w:rPr>
                <w:sz w:val="21"/>
              </w:rPr>
              <w:t>技 术</w:t>
            </w:r>
          </w:p>
        </w:tc>
        <w:tc>
          <w:tcPr>
            <w:tcW w:w="452" w:type="dxa"/>
            <w:tcBorders>
              <w:top w:val="nil"/>
              <w:left w:val="single" w:sz="8" w:space="0" w:color="000000"/>
              <w:bottom w:val="nil"/>
              <w:right w:val="single" w:sz="8" w:space="0" w:color="000000"/>
            </w:tcBorders>
          </w:tcPr>
          <w:p>
            <w:pPr>
              <w:pStyle w:val="TableParagraph"/>
              <w:rPr>
                <w:rFonts w:ascii="Times New Roman"/>
                <w:sz w:val="14"/>
              </w:rPr>
            </w:pPr>
          </w:p>
        </w:tc>
        <w:tc>
          <w:tcPr>
            <w:tcW w:w="2819" w:type="dxa"/>
            <w:tcBorders>
              <w:top w:val="nil"/>
              <w:left w:val="single" w:sz="8" w:space="0" w:color="000000"/>
              <w:bottom w:val="nil"/>
              <w:right w:val="single" w:sz="8" w:space="0" w:color="000000"/>
            </w:tcBorders>
          </w:tcPr>
          <w:p>
            <w:pPr>
              <w:pStyle w:val="TableParagraph"/>
              <w:rPr>
                <w:rFonts w:ascii="Times New Roman"/>
                <w:sz w:val="14"/>
              </w:rPr>
            </w:pPr>
          </w:p>
        </w:tc>
        <w:tc>
          <w:tcPr>
            <w:tcW w:w="740" w:type="dxa"/>
            <w:tcBorders>
              <w:top w:val="nil"/>
              <w:left w:val="single" w:sz="8" w:space="0" w:color="000000"/>
              <w:bottom w:val="nil"/>
              <w:right w:val="single" w:sz="8" w:space="0" w:color="000000"/>
            </w:tcBorders>
          </w:tcPr>
          <w:p>
            <w:pPr>
              <w:pStyle w:val="TableParagraph"/>
              <w:rPr>
                <w:rFonts w:ascii="Times New Roman"/>
                <w:sz w:val="14"/>
              </w:rPr>
            </w:pPr>
          </w:p>
        </w:tc>
        <w:tc>
          <w:tcPr>
            <w:tcW w:w="1057" w:type="dxa"/>
            <w:tcBorders>
              <w:top w:val="nil"/>
              <w:left w:val="single" w:sz="8" w:space="0" w:color="000000"/>
              <w:bottom w:val="nil"/>
              <w:right w:val="single" w:sz="8" w:space="0" w:color="000000"/>
            </w:tcBorders>
          </w:tcPr>
          <w:p>
            <w:pPr>
              <w:pStyle w:val="TableParagraph"/>
              <w:rPr>
                <w:rFonts w:ascii="Times New Roman"/>
                <w:sz w:val="14"/>
              </w:rPr>
            </w:pPr>
          </w:p>
        </w:tc>
        <w:tc>
          <w:tcPr>
            <w:tcW w:w="992" w:type="dxa"/>
            <w:tcBorders>
              <w:top w:val="nil"/>
              <w:left w:val="single" w:sz="8" w:space="0" w:color="000000"/>
              <w:bottom w:val="nil"/>
              <w:right w:val="single" w:sz="8" w:space="0" w:color="000000"/>
            </w:tcBorders>
          </w:tcPr>
          <w:p>
            <w:pPr>
              <w:pStyle w:val="TableParagraph"/>
              <w:rPr>
                <w:rFonts w:ascii="Times New Roman"/>
                <w:sz w:val="14"/>
              </w:rPr>
            </w:pPr>
          </w:p>
        </w:tc>
        <w:tc>
          <w:tcPr>
            <w:tcW w:w="1984" w:type="dxa"/>
            <w:tcBorders>
              <w:top w:val="nil"/>
              <w:left w:val="single" w:sz="8" w:space="0" w:color="000000"/>
              <w:bottom w:val="nil"/>
            </w:tcBorders>
          </w:tcPr>
          <w:p>
            <w:pPr>
              <w:pStyle w:val="TableParagraph"/>
              <w:spacing w:line="191" w:lineRule="exact" w:before="7"/>
              <w:ind w:left="112"/>
              <w:rPr>
                <w:sz w:val="15"/>
              </w:rPr>
            </w:pPr>
            <w:r>
              <w:rPr>
                <w:sz w:val="15"/>
              </w:rPr>
              <w:t>坦 </w:t>
            </w:r>
            <w:r>
              <w:rPr>
                <w:rFonts w:ascii="Times New Roman" w:eastAsia="Times New Roman"/>
                <w:sz w:val="15"/>
              </w:rPr>
              <w:t>Infinity </w:t>
            </w:r>
            <w:r>
              <w:rPr>
                <w:sz w:val="15"/>
              </w:rPr>
              <w:t>工程学院担任客</w:t>
            </w:r>
          </w:p>
        </w:tc>
      </w:tr>
      <w:tr>
        <w:trPr>
          <w:trHeight w:val="374"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spacing w:before="67"/>
              <w:ind w:left="113"/>
              <w:rPr>
                <w:sz w:val="21"/>
              </w:rPr>
            </w:pPr>
            <w:r>
              <w:rPr>
                <w:sz w:val="21"/>
              </w:rPr>
              <w:t>学院</w:t>
            </w:r>
          </w:p>
        </w:tc>
        <w:tc>
          <w:tcPr>
            <w:tcW w:w="452" w:type="dxa"/>
            <w:tcBorders>
              <w:top w:val="nil"/>
              <w:left w:val="single" w:sz="8" w:space="0" w:color="000000"/>
              <w:bottom w:val="nil"/>
              <w:right w:val="single" w:sz="8" w:space="0" w:color="000000"/>
            </w:tcBorders>
          </w:tcPr>
          <w:p>
            <w:pPr>
              <w:pStyle w:val="TableParagraph"/>
              <w:rPr>
                <w:rFonts w:ascii="Times New Roman"/>
                <w:sz w:val="16"/>
              </w:rPr>
            </w:pPr>
          </w:p>
        </w:tc>
        <w:tc>
          <w:tcPr>
            <w:tcW w:w="2819" w:type="dxa"/>
            <w:tcBorders>
              <w:top w:val="nil"/>
              <w:left w:val="single" w:sz="8" w:space="0" w:color="000000"/>
              <w:bottom w:val="nil"/>
              <w:right w:val="single" w:sz="8" w:space="0" w:color="000000"/>
            </w:tcBorders>
          </w:tcPr>
          <w:p>
            <w:pPr>
              <w:pStyle w:val="TableParagraph"/>
              <w:rPr>
                <w:rFonts w:ascii="Times New Roman"/>
                <w:sz w:val="16"/>
              </w:rPr>
            </w:pPr>
          </w:p>
        </w:tc>
        <w:tc>
          <w:tcPr>
            <w:tcW w:w="740" w:type="dxa"/>
            <w:tcBorders>
              <w:top w:val="nil"/>
              <w:left w:val="single" w:sz="8" w:space="0" w:color="000000"/>
              <w:bottom w:val="nil"/>
              <w:right w:val="single" w:sz="8" w:space="0" w:color="000000"/>
            </w:tcBorders>
          </w:tcPr>
          <w:p>
            <w:pPr>
              <w:pStyle w:val="TableParagraph"/>
              <w:rPr>
                <w:rFonts w:ascii="Times New Roman"/>
                <w:sz w:val="16"/>
              </w:rPr>
            </w:pPr>
          </w:p>
        </w:tc>
        <w:tc>
          <w:tcPr>
            <w:tcW w:w="1057" w:type="dxa"/>
            <w:tcBorders>
              <w:top w:val="nil"/>
              <w:left w:val="single" w:sz="8" w:space="0" w:color="000000"/>
              <w:bottom w:val="nil"/>
              <w:right w:val="single" w:sz="8" w:space="0" w:color="000000"/>
            </w:tcBorders>
          </w:tcPr>
          <w:p>
            <w:pPr>
              <w:pStyle w:val="TableParagraph"/>
              <w:rPr>
                <w:rFonts w:ascii="Times New Roman"/>
                <w:sz w:val="16"/>
              </w:rPr>
            </w:pPr>
          </w:p>
        </w:tc>
        <w:tc>
          <w:tcPr>
            <w:tcW w:w="992" w:type="dxa"/>
            <w:tcBorders>
              <w:top w:val="nil"/>
              <w:left w:val="single" w:sz="8" w:space="0" w:color="000000"/>
              <w:bottom w:val="nil"/>
              <w:right w:val="single" w:sz="8" w:space="0" w:color="000000"/>
            </w:tcBorders>
          </w:tcPr>
          <w:p>
            <w:pPr>
              <w:pStyle w:val="TableParagraph"/>
              <w:rPr>
                <w:rFonts w:ascii="Times New Roman"/>
                <w:sz w:val="16"/>
              </w:rPr>
            </w:pPr>
          </w:p>
        </w:tc>
        <w:tc>
          <w:tcPr>
            <w:tcW w:w="1984" w:type="dxa"/>
            <w:tcBorders>
              <w:top w:val="nil"/>
              <w:left w:val="single" w:sz="8" w:space="0" w:color="000000"/>
              <w:bottom w:val="nil"/>
            </w:tcBorders>
          </w:tcPr>
          <w:p>
            <w:pPr>
              <w:pStyle w:val="TableParagraph"/>
              <w:spacing w:line="176" w:lineRule="exact"/>
              <w:ind w:left="112"/>
              <w:rPr>
                <w:sz w:val="15"/>
              </w:rPr>
            </w:pPr>
            <w:r>
              <w:rPr>
                <w:sz w:val="15"/>
              </w:rPr>
              <w:t>座教授；</w:t>
            </w:r>
          </w:p>
          <w:p>
            <w:pPr>
              <w:pStyle w:val="TableParagraph"/>
              <w:spacing w:line="177" w:lineRule="exact" w:before="2"/>
              <w:ind w:left="112"/>
              <w:rPr>
                <w:sz w:val="15"/>
              </w:rPr>
            </w:pPr>
            <w:r>
              <w:rPr>
                <w:rFonts w:ascii="Times New Roman" w:eastAsia="Times New Roman"/>
                <w:sz w:val="15"/>
              </w:rPr>
              <w:t>7 </w:t>
            </w:r>
            <w:r>
              <w:rPr>
                <w:sz w:val="15"/>
              </w:rPr>
              <w:t>． 张翔博士在巴基斯坦</w:t>
            </w:r>
          </w:p>
        </w:tc>
      </w:tr>
      <w:tr>
        <w:trPr>
          <w:trHeight w:val="196"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7" w:lineRule="exact"/>
              <w:ind w:left="112"/>
              <w:rPr>
                <w:sz w:val="15"/>
              </w:rPr>
            </w:pPr>
            <w:r>
              <w:rPr>
                <w:rFonts w:ascii="Times New Roman" w:eastAsia="Times New Roman"/>
                <w:sz w:val="15"/>
              </w:rPr>
              <w:t>Infinity </w:t>
            </w:r>
            <w:r>
              <w:rPr>
                <w:sz w:val="15"/>
              </w:rPr>
              <w:t>工程学院担任客座</w:t>
            </w:r>
          </w:p>
        </w:tc>
      </w:tr>
      <w:tr>
        <w:trPr>
          <w:trHeight w:val="268"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rPr>
                <w:rFonts w:ascii="Times New Roman"/>
                <w:sz w:val="16"/>
              </w:rPr>
            </w:pPr>
          </w:p>
        </w:tc>
        <w:tc>
          <w:tcPr>
            <w:tcW w:w="452" w:type="dxa"/>
            <w:tcBorders>
              <w:top w:val="nil"/>
              <w:left w:val="single" w:sz="8" w:space="0" w:color="000000"/>
              <w:bottom w:val="single" w:sz="8" w:space="0" w:color="000000"/>
              <w:right w:val="single" w:sz="8" w:space="0" w:color="000000"/>
            </w:tcBorders>
          </w:tcPr>
          <w:p>
            <w:pPr>
              <w:pStyle w:val="TableParagraph"/>
              <w:rPr>
                <w:rFonts w:ascii="Times New Roman"/>
                <w:sz w:val="16"/>
              </w:rPr>
            </w:pPr>
          </w:p>
        </w:tc>
        <w:tc>
          <w:tcPr>
            <w:tcW w:w="2819" w:type="dxa"/>
            <w:tcBorders>
              <w:top w:val="nil"/>
              <w:left w:val="single" w:sz="8" w:space="0" w:color="000000"/>
              <w:bottom w:val="single" w:sz="8" w:space="0" w:color="000000"/>
              <w:right w:val="single" w:sz="8" w:space="0" w:color="000000"/>
            </w:tcBorders>
          </w:tcPr>
          <w:p>
            <w:pPr>
              <w:pStyle w:val="TableParagraph"/>
              <w:rPr>
                <w:rFonts w:ascii="Times New Roman"/>
                <w:sz w:val="16"/>
              </w:rPr>
            </w:pPr>
          </w:p>
        </w:tc>
        <w:tc>
          <w:tcPr>
            <w:tcW w:w="740" w:type="dxa"/>
            <w:tcBorders>
              <w:top w:val="nil"/>
              <w:left w:val="single" w:sz="8" w:space="0" w:color="000000"/>
              <w:bottom w:val="single" w:sz="8" w:space="0" w:color="000000"/>
              <w:right w:val="single" w:sz="8" w:space="0" w:color="000000"/>
            </w:tcBorders>
          </w:tcPr>
          <w:p>
            <w:pPr>
              <w:pStyle w:val="TableParagraph"/>
              <w:rPr>
                <w:rFonts w:ascii="Times New Roman"/>
                <w:sz w:val="16"/>
              </w:rPr>
            </w:pPr>
          </w:p>
        </w:tc>
        <w:tc>
          <w:tcPr>
            <w:tcW w:w="1057" w:type="dxa"/>
            <w:tcBorders>
              <w:top w:val="nil"/>
              <w:left w:val="single" w:sz="8" w:space="0" w:color="000000"/>
              <w:bottom w:val="single" w:sz="8" w:space="0" w:color="000000"/>
              <w:right w:val="single" w:sz="8" w:space="0" w:color="000000"/>
            </w:tcBorders>
          </w:tcPr>
          <w:p>
            <w:pPr>
              <w:pStyle w:val="TableParagraph"/>
              <w:rPr>
                <w:rFonts w:ascii="Times New Roman"/>
                <w:sz w:val="16"/>
              </w:rPr>
            </w:pPr>
          </w:p>
        </w:tc>
        <w:tc>
          <w:tcPr>
            <w:tcW w:w="992" w:type="dxa"/>
            <w:tcBorders>
              <w:top w:val="nil"/>
              <w:left w:val="single" w:sz="8" w:space="0" w:color="000000"/>
              <w:bottom w:val="single" w:sz="8" w:space="0" w:color="000000"/>
              <w:right w:val="single" w:sz="8" w:space="0" w:color="000000"/>
            </w:tcBorders>
          </w:tcPr>
          <w:p>
            <w:pPr>
              <w:pStyle w:val="TableParagraph"/>
              <w:rPr>
                <w:rFonts w:ascii="Times New Roman"/>
                <w:sz w:val="16"/>
              </w:rPr>
            </w:pPr>
          </w:p>
        </w:tc>
        <w:tc>
          <w:tcPr>
            <w:tcW w:w="1984" w:type="dxa"/>
            <w:tcBorders>
              <w:top w:val="nil"/>
              <w:left w:val="single" w:sz="8" w:space="0" w:color="000000"/>
              <w:bottom w:val="single" w:sz="8" w:space="0" w:color="000000"/>
            </w:tcBorders>
          </w:tcPr>
          <w:p>
            <w:pPr>
              <w:pStyle w:val="TableParagraph"/>
              <w:spacing w:line="187" w:lineRule="exact"/>
              <w:ind w:left="112"/>
              <w:rPr>
                <w:sz w:val="15"/>
              </w:rPr>
            </w:pPr>
            <w:r>
              <w:rPr>
                <w:sz w:val="15"/>
              </w:rPr>
              <w:t>教授。</w:t>
            </w:r>
          </w:p>
        </w:tc>
      </w:tr>
      <w:tr>
        <w:trPr>
          <w:trHeight w:val="624" w:hRule="atLeast"/>
        </w:trPr>
        <w:tc>
          <w:tcPr>
            <w:tcW w:w="788" w:type="dxa"/>
            <w:vMerge w:val="restart"/>
            <w:tcBorders>
              <w:top w:val="nil"/>
              <w:bottom w:val="nil"/>
              <w:right w:val="single" w:sz="8" w:space="0" w:color="000000"/>
            </w:tcBorders>
          </w:tcPr>
          <w:p>
            <w:pPr>
              <w:pStyle w:val="TableParagraph"/>
              <w:rPr>
                <w:rFonts w:ascii="Times New Roman"/>
                <w:sz w:val="16"/>
              </w:rPr>
            </w:pPr>
          </w:p>
        </w:tc>
        <w:tc>
          <w:tcPr>
            <w:tcW w:w="788" w:type="dxa"/>
            <w:vMerge w:val="restart"/>
            <w:tcBorders>
              <w:top w:val="nil"/>
              <w:left w:val="single" w:sz="8" w:space="0" w:color="000000"/>
              <w:bottom w:val="nil"/>
              <w:right w:val="single" w:sz="8" w:space="0" w:color="000000"/>
            </w:tcBorders>
          </w:tcPr>
          <w:p>
            <w:pPr>
              <w:pStyle w:val="TableParagraph"/>
              <w:rPr>
                <w:rFonts w:ascii="Times New Roman"/>
                <w:sz w:val="16"/>
              </w:rPr>
            </w:pPr>
          </w:p>
        </w:tc>
        <w:tc>
          <w:tcPr>
            <w:tcW w:w="452" w:type="dxa"/>
            <w:vMerge w:val="restart"/>
            <w:tcBorders>
              <w:top w:val="single" w:sz="8" w:space="0" w:color="000000"/>
              <w:left w:val="single" w:sz="8" w:space="0" w:color="000000"/>
              <w:bottom w:val="single" w:sz="8" w:space="0" w:color="000000"/>
              <w:right w:val="single" w:sz="8" w:space="0" w:color="000000"/>
            </w:tcBorders>
          </w:tcPr>
          <w:p>
            <w:pPr>
              <w:pStyle w:val="TableParagraph"/>
              <w:rPr>
                <w:rFonts w:ascii="黑体"/>
                <w:b/>
                <w:sz w:val="22"/>
              </w:rPr>
            </w:pPr>
          </w:p>
          <w:p>
            <w:pPr>
              <w:pStyle w:val="TableParagraph"/>
              <w:spacing w:before="12"/>
              <w:rPr>
                <w:rFonts w:ascii="黑体"/>
                <w:b/>
                <w:sz w:val="17"/>
              </w:rPr>
            </w:pPr>
          </w:p>
          <w:p>
            <w:pPr>
              <w:pStyle w:val="TableParagraph"/>
              <w:ind w:left="112"/>
              <w:rPr>
                <w:rFonts w:ascii="Times New Roman"/>
                <w:sz w:val="21"/>
              </w:rPr>
            </w:pPr>
            <w:r>
              <w:rPr>
                <w:rFonts w:ascii="Times New Roman"/>
                <w:w w:val="99"/>
                <w:sz w:val="21"/>
              </w:rPr>
              <w:t>6</w:t>
            </w:r>
          </w:p>
        </w:tc>
        <w:tc>
          <w:tcPr>
            <w:tcW w:w="2819" w:type="dxa"/>
            <w:tcBorders>
              <w:top w:val="single" w:sz="8" w:space="0" w:color="000000"/>
              <w:left w:val="single" w:sz="8" w:space="0" w:color="000000"/>
              <w:bottom w:val="single" w:sz="8" w:space="0" w:color="000000"/>
              <w:right w:val="single" w:sz="8" w:space="0" w:color="000000"/>
            </w:tcBorders>
          </w:tcPr>
          <w:p>
            <w:pPr>
              <w:pStyle w:val="TableParagraph"/>
              <w:spacing w:before="20"/>
              <w:ind w:left="111"/>
              <w:rPr>
                <w:sz w:val="21"/>
              </w:rPr>
            </w:pPr>
            <w:r>
              <w:rPr>
                <w:sz w:val="21"/>
              </w:rPr>
              <w:t>开发并被国</w:t>
            </w:r>
            <w:r>
              <w:rPr>
                <w:rFonts w:ascii="Times New Roman" w:eastAsia="Times New Roman"/>
                <w:sz w:val="21"/>
              </w:rPr>
              <w:t>(</w:t>
            </w:r>
            <w:r>
              <w:rPr>
                <w:sz w:val="21"/>
              </w:rPr>
              <w:t>境</w:t>
            </w:r>
            <w:r>
              <w:rPr>
                <w:rFonts w:ascii="Times New Roman" w:eastAsia="Times New Roman"/>
                <w:sz w:val="21"/>
              </w:rPr>
              <w:t>)</w:t>
            </w:r>
            <w:r>
              <w:rPr>
                <w:sz w:val="21"/>
              </w:rPr>
              <w:t>外采用的专</w:t>
            </w:r>
          </w:p>
          <w:p>
            <w:pPr>
              <w:pStyle w:val="TableParagraph"/>
              <w:spacing w:before="43"/>
              <w:ind w:left="111"/>
              <w:rPr>
                <w:sz w:val="21"/>
              </w:rPr>
            </w:pPr>
            <w:r>
              <w:rPr>
                <w:sz w:val="21"/>
              </w:rPr>
              <w:t>业教学标准数</w:t>
            </w:r>
          </w:p>
        </w:tc>
        <w:tc>
          <w:tcPr>
            <w:tcW w:w="740" w:type="dxa"/>
            <w:tcBorders>
              <w:top w:val="single" w:sz="8" w:space="0" w:color="000000"/>
              <w:left w:val="single" w:sz="8" w:space="0" w:color="000000"/>
              <w:bottom w:val="single" w:sz="8" w:space="0" w:color="000000"/>
              <w:right w:val="single" w:sz="8" w:space="0" w:color="000000"/>
            </w:tcBorders>
          </w:tcPr>
          <w:p>
            <w:pPr>
              <w:pStyle w:val="TableParagraph"/>
              <w:spacing w:before="176"/>
              <w:ind w:left="112"/>
              <w:rPr>
                <w:sz w:val="21"/>
              </w:rPr>
            </w:pPr>
            <w:r>
              <w:rPr>
                <w:w w:val="99"/>
                <w:sz w:val="21"/>
              </w:rPr>
              <w:t>个</w:t>
            </w:r>
          </w:p>
        </w:tc>
        <w:tc>
          <w:tcPr>
            <w:tcW w:w="1057" w:type="dxa"/>
            <w:tcBorders>
              <w:top w:val="single" w:sz="8" w:space="0" w:color="000000"/>
              <w:left w:val="single" w:sz="8" w:space="0" w:color="000000"/>
              <w:bottom w:val="single" w:sz="8" w:space="0" w:color="000000"/>
              <w:right w:val="single" w:sz="8" w:space="0" w:color="000000"/>
            </w:tcBorders>
          </w:tcPr>
          <w:p>
            <w:pPr>
              <w:pStyle w:val="TableParagraph"/>
              <w:spacing w:before="190"/>
              <w:ind w:left="112"/>
              <w:rPr>
                <w:rFonts w:ascii="Times New Roman"/>
                <w:sz w:val="21"/>
              </w:rPr>
            </w:pPr>
            <w:r>
              <w:rPr>
                <w:rFonts w:ascii="Times New Roman"/>
                <w:w w:val="99"/>
                <w:sz w:val="21"/>
              </w:rPr>
              <w:t>1</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90"/>
              <w:ind w:left="113"/>
              <w:rPr>
                <w:rFonts w:ascii="Times New Roman"/>
                <w:sz w:val="21"/>
              </w:rPr>
            </w:pPr>
            <w:r>
              <w:rPr>
                <w:rFonts w:ascii="Times New Roman"/>
                <w:w w:val="99"/>
                <w:sz w:val="21"/>
              </w:rPr>
              <w:t>7</w:t>
            </w:r>
          </w:p>
        </w:tc>
        <w:tc>
          <w:tcPr>
            <w:tcW w:w="1984" w:type="dxa"/>
            <w:vMerge w:val="restart"/>
            <w:tcBorders>
              <w:top w:val="single" w:sz="8" w:space="0" w:color="000000"/>
              <w:left w:val="single" w:sz="8" w:space="0" w:color="000000"/>
              <w:bottom w:val="single" w:sz="8" w:space="0" w:color="000000"/>
            </w:tcBorders>
          </w:tcPr>
          <w:p>
            <w:pPr>
              <w:pStyle w:val="TableParagraph"/>
              <w:rPr>
                <w:rFonts w:ascii="黑体"/>
                <w:b/>
                <w:sz w:val="14"/>
              </w:rPr>
            </w:pPr>
          </w:p>
          <w:p>
            <w:pPr>
              <w:pStyle w:val="TableParagraph"/>
              <w:rPr>
                <w:rFonts w:ascii="黑体"/>
                <w:b/>
                <w:sz w:val="14"/>
              </w:rPr>
            </w:pPr>
          </w:p>
          <w:p>
            <w:pPr>
              <w:pStyle w:val="TableParagraph"/>
              <w:spacing w:before="11"/>
              <w:rPr>
                <w:rFonts w:ascii="黑体"/>
                <w:b/>
                <w:sz w:val="13"/>
              </w:rPr>
            </w:pPr>
          </w:p>
          <w:p>
            <w:pPr>
              <w:pStyle w:val="TableParagraph"/>
              <w:ind w:left="112"/>
              <w:rPr>
                <w:sz w:val="15"/>
              </w:rPr>
            </w:pPr>
            <w:r>
              <w:rPr>
                <w:sz w:val="15"/>
              </w:rPr>
              <w:t>详细名单见表格下方</w:t>
            </w:r>
          </w:p>
        </w:tc>
      </w:tr>
      <w:tr>
        <w:trPr>
          <w:trHeight w:val="623" w:hRule="atLeast"/>
        </w:trPr>
        <w:tc>
          <w:tcPr>
            <w:tcW w:w="788" w:type="dxa"/>
            <w:vMerge/>
            <w:tcBorders>
              <w:top w:val="nil"/>
              <w:bottom w:val="nil"/>
              <w:right w:val="single" w:sz="8" w:space="0" w:color="000000"/>
            </w:tcBorders>
          </w:tcPr>
          <w:p>
            <w:pPr>
              <w:rPr>
                <w:sz w:val="2"/>
                <w:szCs w:val="2"/>
              </w:rPr>
            </w:pPr>
          </w:p>
        </w:tc>
        <w:tc>
          <w:tcPr>
            <w:tcW w:w="788" w:type="dxa"/>
            <w:vMerge/>
            <w:tcBorders>
              <w:top w:val="nil"/>
              <w:left w:val="single" w:sz="8" w:space="0" w:color="000000"/>
              <w:bottom w:val="nil"/>
              <w:right w:val="single" w:sz="8" w:space="0" w:color="000000"/>
            </w:tcBorders>
          </w:tcPr>
          <w:p>
            <w:pPr>
              <w:rPr>
                <w:sz w:val="2"/>
                <w:szCs w:val="2"/>
              </w:rPr>
            </w:pPr>
          </w:p>
        </w:tc>
        <w:tc>
          <w:tcPr>
            <w:tcW w:w="452" w:type="dxa"/>
            <w:vMerge/>
            <w:tcBorders>
              <w:top w:val="nil"/>
              <w:left w:val="single" w:sz="8" w:space="0" w:color="000000"/>
              <w:bottom w:val="single" w:sz="8" w:space="0" w:color="000000"/>
              <w:right w:val="single" w:sz="8" w:space="0" w:color="000000"/>
            </w:tcBorders>
          </w:tcPr>
          <w:p>
            <w:pPr>
              <w:rPr>
                <w:sz w:val="2"/>
                <w:szCs w:val="2"/>
              </w:rPr>
            </w:pPr>
          </w:p>
        </w:tc>
        <w:tc>
          <w:tcPr>
            <w:tcW w:w="2819" w:type="dxa"/>
            <w:tcBorders>
              <w:top w:val="single" w:sz="8" w:space="0" w:color="000000"/>
              <w:left w:val="single" w:sz="8" w:space="0" w:color="000000"/>
              <w:bottom w:val="single" w:sz="8" w:space="0" w:color="000000"/>
              <w:right w:val="single" w:sz="8" w:space="0" w:color="000000"/>
            </w:tcBorders>
          </w:tcPr>
          <w:p>
            <w:pPr>
              <w:pStyle w:val="TableParagraph"/>
              <w:spacing w:before="20"/>
              <w:ind w:left="111"/>
              <w:rPr>
                <w:sz w:val="21"/>
              </w:rPr>
            </w:pPr>
            <w:r>
              <w:rPr>
                <w:sz w:val="21"/>
              </w:rPr>
              <w:t>开发并被国</w:t>
            </w:r>
            <w:r>
              <w:rPr>
                <w:rFonts w:ascii="Times New Roman" w:eastAsia="Times New Roman"/>
                <w:sz w:val="21"/>
              </w:rPr>
              <w:t>(</w:t>
            </w:r>
            <w:r>
              <w:rPr>
                <w:sz w:val="21"/>
              </w:rPr>
              <w:t>境</w:t>
            </w:r>
            <w:r>
              <w:rPr>
                <w:rFonts w:ascii="Times New Roman" w:eastAsia="Times New Roman"/>
                <w:sz w:val="21"/>
              </w:rPr>
              <w:t>)</w:t>
            </w:r>
            <w:r>
              <w:rPr>
                <w:sz w:val="21"/>
              </w:rPr>
              <w:t>外采用的课</w:t>
            </w:r>
          </w:p>
          <w:p>
            <w:pPr>
              <w:pStyle w:val="TableParagraph"/>
              <w:spacing w:before="43"/>
              <w:ind w:left="111"/>
              <w:rPr>
                <w:sz w:val="21"/>
              </w:rPr>
            </w:pPr>
            <w:r>
              <w:rPr>
                <w:sz w:val="21"/>
              </w:rPr>
              <w:t>程标准数</w:t>
            </w:r>
          </w:p>
        </w:tc>
        <w:tc>
          <w:tcPr>
            <w:tcW w:w="740" w:type="dxa"/>
            <w:tcBorders>
              <w:top w:val="single" w:sz="8" w:space="0" w:color="000000"/>
              <w:left w:val="single" w:sz="8" w:space="0" w:color="000000"/>
              <w:bottom w:val="single" w:sz="8" w:space="0" w:color="000000"/>
              <w:right w:val="single" w:sz="8" w:space="0" w:color="000000"/>
            </w:tcBorders>
          </w:tcPr>
          <w:p>
            <w:pPr>
              <w:pStyle w:val="TableParagraph"/>
              <w:spacing w:before="176"/>
              <w:ind w:left="112"/>
              <w:rPr>
                <w:sz w:val="21"/>
              </w:rPr>
            </w:pPr>
            <w:r>
              <w:rPr>
                <w:w w:val="99"/>
                <w:sz w:val="21"/>
              </w:rPr>
              <w:t>个</w:t>
            </w:r>
          </w:p>
        </w:tc>
        <w:tc>
          <w:tcPr>
            <w:tcW w:w="1057" w:type="dxa"/>
            <w:tcBorders>
              <w:top w:val="single" w:sz="8" w:space="0" w:color="000000"/>
              <w:left w:val="single" w:sz="8" w:space="0" w:color="000000"/>
              <w:bottom w:val="single" w:sz="8" w:space="0" w:color="000000"/>
              <w:right w:val="single" w:sz="8" w:space="0" w:color="000000"/>
            </w:tcBorders>
          </w:tcPr>
          <w:p>
            <w:pPr>
              <w:pStyle w:val="TableParagraph"/>
              <w:spacing w:before="190"/>
              <w:ind w:left="112"/>
              <w:rPr>
                <w:rFonts w:ascii="Times New Roman"/>
                <w:sz w:val="21"/>
              </w:rPr>
            </w:pPr>
            <w:r>
              <w:rPr>
                <w:rFonts w:ascii="Times New Roman"/>
                <w:w w:val="99"/>
                <w:sz w:val="21"/>
              </w:rPr>
              <w:t>1</w:t>
            </w:r>
          </w:p>
        </w:tc>
        <w:tc>
          <w:tcPr>
            <w:tcW w:w="992" w:type="dxa"/>
            <w:tcBorders>
              <w:top w:val="single" w:sz="8" w:space="0" w:color="000000"/>
              <w:left w:val="single" w:sz="8" w:space="0" w:color="000000"/>
              <w:bottom w:val="single" w:sz="8" w:space="0" w:color="000000"/>
              <w:right w:val="single" w:sz="8" w:space="0" w:color="000000"/>
            </w:tcBorders>
          </w:tcPr>
          <w:p>
            <w:pPr>
              <w:pStyle w:val="TableParagraph"/>
              <w:spacing w:before="190"/>
              <w:ind w:left="113"/>
              <w:rPr>
                <w:rFonts w:ascii="Times New Roman"/>
                <w:sz w:val="21"/>
              </w:rPr>
            </w:pPr>
            <w:r>
              <w:rPr>
                <w:rFonts w:ascii="Times New Roman"/>
                <w:sz w:val="21"/>
              </w:rPr>
              <w:t>58</w:t>
            </w:r>
          </w:p>
        </w:tc>
        <w:tc>
          <w:tcPr>
            <w:tcW w:w="1984" w:type="dxa"/>
            <w:vMerge/>
            <w:tcBorders>
              <w:top w:val="nil"/>
              <w:left w:val="single" w:sz="8" w:space="0" w:color="000000"/>
              <w:bottom w:val="single" w:sz="8" w:space="0" w:color="000000"/>
            </w:tcBorders>
          </w:tcPr>
          <w:p>
            <w:pPr>
              <w:rPr>
                <w:sz w:val="2"/>
                <w:szCs w:val="2"/>
              </w:rPr>
            </w:pPr>
          </w:p>
        </w:tc>
      </w:tr>
      <w:tr>
        <w:trPr>
          <w:trHeight w:val="331"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rPr>
                <w:rFonts w:ascii="Times New Roman"/>
                <w:sz w:val="16"/>
              </w:rPr>
            </w:pPr>
          </w:p>
        </w:tc>
        <w:tc>
          <w:tcPr>
            <w:tcW w:w="452"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2819"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74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05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992"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984" w:type="dxa"/>
            <w:tcBorders>
              <w:top w:val="single" w:sz="8" w:space="0" w:color="000000"/>
              <w:left w:val="single" w:sz="8" w:space="0" w:color="000000"/>
              <w:bottom w:val="nil"/>
            </w:tcBorders>
          </w:tcPr>
          <w:p>
            <w:pPr>
              <w:pStyle w:val="TableParagraph"/>
              <w:spacing w:line="179" w:lineRule="exact" w:before="132"/>
              <w:ind w:left="112"/>
              <w:rPr>
                <w:sz w:val="15"/>
              </w:rPr>
            </w:pPr>
            <w:r>
              <w:rPr>
                <w:sz w:val="15"/>
              </w:rPr>
              <w:t>吴超群在第 </w:t>
            </w:r>
            <w:r>
              <w:rPr>
                <w:rFonts w:ascii="Times New Roman" w:eastAsia="Times New Roman"/>
                <w:sz w:val="15"/>
              </w:rPr>
              <w:t>45 </w:t>
            </w:r>
            <w:r>
              <w:rPr>
                <w:sz w:val="15"/>
              </w:rPr>
              <w:t>届世界技能</w:t>
            </w:r>
          </w:p>
        </w:tc>
      </w:tr>
      <w:tr>
        <w:trPr>
          <w:trHeight w:val="188"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69" w:lineRule="exact"/>
              <w:ind w:left="112"/>
              <w:rPr>
                <w:sz w:val="15"/>
              </w:rPr>
            </w:pPr>
            <w:r>
              <w:rPr>
                <w:sz w:val="15"/>
              </w:rPr>
              <w:t>大赛水处理技术项目行业</w:t>
            </w:r>
          </w:p>
        </w:tc>
      </w:tr>
      <w:tr>
        <w:trPr>
          <w:trHeight w:val="192"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1" w:lineRule="exact"/>
              <w:ind w:left="112"/>
              <w:rPr>
                <w:sz w:val="15"/>
              </w:rPr>
            </w:pPr>
            <w:r>
              <w:rPr>
                <w:sz w:val="15"/>
              </w:rPr>
              <w:t>选拔赛中荣获一等奖；</w:t>
            </w:r>
          </w:p>
        </w:tc>
      </w:tr>
      <w:tr>
        <w:trPr>
          <w:trHeight w:val="202" w:hRule="atLeast"/>
        </w:trPr>
        <w:tc>
          <w:tcPr>
            <w:tcW w:w="788" w:type="dxa"/>
            <w:tcBorders>
              <w:top w:val="nil"/>
              <w:bottom w:val="nil"/>
              <w:right w:val="single" w:sz="8" w:space="0" w:color="000000"/>
            </w:tcBorders>
          </w:tcPr>
          <w:p>
            <w:pPr>
              <w:pStyle w:val="TableParagraph"/>
              <w:rPr>
                <w:rFonts w:ascii="Times New Roman"/>
                <w:sz w:val="14"/>
              </w:rPr>
            </w:pPr>
          </w:p>
        </w:tc>
        <w:tc>
          <w:tcPr>
            <w:tcW w:w="788" w:type="dxa"/>
            <w:tcBorders>
              <w:top w:val="nil"/>
              <w:left w:val="single" w:sz="8" w:space="0" w:color="000000"/>
              <w:bottom w:val="nil"/>
              <w:right w:val="single" w:sz="8" w:space="0" w:color="000000"/>
            </w:tcBorders>
          </w:tcPr>
          <w:p>
            <w:pPr>
              <w:pStyle w:val="TableParagraph"/>
              <w:rPr>
                <w:rFonts w:ascii="Times New Roman"/>
                <w:sz w:val="14"/>
              </w:rPr>
            </w:pPr>
          </w:p>
        </w:tc>
        <w:tc>
          <w:tcPr>
            <w:tcW w:w="452" w:type="dxa"/>
            <w:tcBorders>
              <w:top w:val="nil"/>
              <w:left w:val="single" w:sz="8" w:space="0" w:color="000000"/>
              <w:bottom w:val="nil"/>
              <w:right w:val="single" w:sz="8" w:space="0" w:color="000000"/>
            </w:tcBorders>
          </w:tcPr>
          <w:p>
            <w:pPr>
              <w:pStyle w:val="TableParagraph"/>
              <w:rPr>
                <w:rFonts w:ascii="Times New Roman"/>
                <w:sz w:val="14"/>
              </w:rPr>
            </w:pPr>
          </w:p>
        </w:tc>
        <w:tc>
          <w:tcPr>
            <w:tcW w:w="2819" w:type="dxa"/>
            <w:tcBorders>
              <w:top w:val="nil"/>
              <w:left w:val="single" w:sz="8" w:space="0" w:color="000000"/>
              <w:bottom w:val="nil"/>
              <w:right w:val="single" w:sz="8" w:space="0" w:color="000000"/>
            </w:tcBorders>
          </w:tcPr>
          <w:p>
            <w:pPr>
              <w:pStyle w:val="TableParagraph"/>
              <w:rPr>
                <w:rFonts w:ascii="Times New Roman"/>
                <w:sz w:val="14"/>
              </w:rPr>
            </w:pPr>
          </w:p>
        </w:tc>
        <w:tc>
          <w:tcPr>
            <w:tcW w:w="740" w:type="dxa"/>
            <w:tcBorders>
              <w:top w:val="nil"/>
              <w:left w:val="single" w:sz="8" w:space="0" w:color="000000"/>
              <w:bottom w:val="nil"/>
              <w:right w:val="single" w:sz="8" w:space="0" w:color="000000"/>
            </w:tcBorders>
          </w:tcPr>
          <w:p>
            <w:pPr>
              <w:pStyle w:val="TableParagraph"/>
              <w:rPr>
                <w:rFonts w:ascii="Times New Roman"/>
                <w:sz w:val="14"/>
              </w:rPr>
            </w:pPr>
          </w:p>
        </w:tc>
        <w:tc>
          <w:tcPr>
            <w:tcW w:w="1057" w:type="dxa"/>
            <w:tcBorders>
              <w:top w:val="nil"/>
              <w:left w:val="single" w:sz="8" w:space="0" w:color="000000"/>
              <w:bottom w:val="nil"/>
              <w:right w:val="single" w:sz="8" w:space="0" w:color="000000"/>
            </w:tcBorders>
          </w:tcPr>
          <w:p>
            <w:pPr>
              <w:pStyle w:val="TableParagraph"/>
              <w:rPr>
                <w:rFonts w:ascii="Times New Roman"/>
                <w:sz w:val="14"/>
              </w:rPr>
            </w:pPr>
          </w:p>
        </w:tc>
        <w:tc>
          <w:tcPr>
            <w:tcW w:w="992" w:type="dxa"/>
            <w:tcBorders>
              <w:top w:val="nil"/>
              <w:left w:val="single" w:sz="8" w:space="0" w:color="000000"/>
              <w:bottom w:val="nil"/>
              <w:right w:val="single" w:sz="8" w:space="0" w:color="000000"/>
            </w:tcBorders>
          </w:tcPr>
          <w:p>
            <w:pPr>
              <w:pStyle w:val="TableParagraph"/>
              <w:rPr>
                <w:rFonts w:ascii="Times New Roman"/>
                <w:sz w:val="14"/>
              </w:rPr>
            </w:pPr>
          </w:p>
        </w:tc>
        <w:tc>
          <w:tcPr>
            <w:tcW w:w="1984" w:type="dxa"/>
            <w:tcBorders>
              <w:top w:val="nil"/>
              <w:left w:val="single" w:sz="8" w:space="0" w:color="000000"/>
              <w:bottom w:val="nil"/>
            </w:tcBorders>
          </w:tcPr>
          <w:p>
            <w:pPr>
              <w:pStyle w:val="TableParagraph"/>
              <w:spacing w:line="179" w:lineRule="exact" w:before="3"/>
              <w:ind w:left="112"/>
              <w:rPr>
                <w:sz w:val="15"/>
              </w:rPr>
            </w:pPr>
            <w:r>
              <w:rPr>
                <w:sz w:val="15"/>
              </w:rPr>
              <w:t>周剑锋在第 </w:t>
            </w:r>
            <w:r>
              <w:rPr>
                <w:rFonts w:ascii="Times New Roman" w:eastAsia="Times New Roman"/>
                <w:sz w:val="15"/>
              </w:rPr>
              <w:t>45 </w:t>
            </w:r>
            <w:r>
              <w:rPr>
                <w:sz w:val="15"/>
              </w:rPr>
              <w:t>届世界技能</w:t>
            </w:r>
          </w:p>
        </w:tc>
      </w:tr>
      <w:tr>
        <w:trPr>
          <w:trHeight w:val="188"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69" w:lineRule="exact"/>
              <w:ind w:left="112"/>
              <w:rPr>
                <w:sz w:val="15"/>
              </w:rPr>
            </w:pPr>
            <w:r>
              <w:rPr>
                <w:sz w:val="15"/>
              </w:rPr>
              <w:t>大赛水处理技术项目行业</w:t>
            </w:r>
          </w:p>
        </w:tc>
      </w:tr>
      <w:tr>
        <w:trPr>
          <w:trHeight w:val="192"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1" w:lineRule="exact"/>
              <w:ind w:left="112"/>
              <w:rPr>
                <w:sz w:val="15"/>
              </w:rPr>
            </w:pPr>
            <w:r>
              <w:rPr>
                <w:sz w:val="15"/>
              </w:rPr>
              <w:t>选拔赛中荣获二等奖；</w:t>
            </w:r>
          </w:p>
        </w:tc>
      </w:tr>
      <w:tr>
        <w:trPr>
          <w:trHeight w:val="391" w:hRule="atLeast"/>
        </w:trPr>
        <w:tc>
          <w:tcPr>
            <w:tcW w:w="788" w:type="dxa"/>
            <w:tcBorders>
              <w:top w:val="nil"/>
              <w:bottom w:val="nil"/>
              <w:right w:val="single" w:sz="8" w:space="0" w:color="000000"/>
            </w:tcBorders>
          </w:tcPr>
          <w:p>
            <w:pPr>
              <w:pStyle w:val="TableParagraph"/>
              <w:rPr>
                <w:rFonts w:ascii="Times New Roman"/>
                <w:sz w:val="16"/>
              </w:rPr>
            </w:pPr>
          </w:p>
        </w:tc>
        <w:tc>
          <w:tcPr>
            <w:tcW w:w="788" w:type="dxa"/>
            <w:tcBorders>
              <w:top w:val="nil"/>
              <w:left w:val="single" w:sz="8" w:space="0" w:color="000000"/>
              <w:bottom w:val="nil"/>
              <w:right w:val="single" w:sz="8" w:space="0" w:color="000000"/>
            </w:tcBorders>
          </w:tcPr>
          <w:p>
            <w:pPr>
              <w:pStyle w:val="TableParagraph"/>
              <w:rPr>
                <w:rFonts w:ascii="Times New Roman"/>
                <w:sz w:val="16"/>
              </w:rPr>
            </w:pPr>
          </w:p>
        </w:tc>
        <w:tc>
          <w:tcPr>
            <w:tcW w:w="452" w:type="dxa"/>
            <w:tcBorders>
              <w:top w:val="nil"/>
              <w:left w:val="single" w:sz="8" w:space="0" w:color="000000"/>
              <w:bottom w:val="nil"/>
              <w:right w:val="single" w:sz="8" w:space="0" w:color="000000"/>
            </w:tcBorders>
          </w:tcPr>
          <w:p>
            <w:pPr>
              <w:pStyle w:val="TableParagraph"/>
              <w:spacing w:before="77"/>
              <w:ind w:left="112"/>
              <w:rPr>
                <w:rFonts w:ascii="Times New Roman"/>
                <w:sz w:val="21"/>
              </w:rPr>
            </w:pPr>
            <w:r>
              <w:rPr>
                <w:rFonts w:ascii="Times New Roman"/>
                <w:w w:val="99"/>
                <w:sz w:val="21"/>
              </w:rPr>
              <w:t>7</w:t>
            </w:r>
          </w:p>
        </w:tc>
        <w:tc>
          <w:tcPr>
            <w:tcW w:w="2819" w:type="dxa"/>
            <w:tcBorders>
              <w:top w:val="nil"/>
              <w:left w:val="single" w:sz="8" w:space="0" w:color="000000"/>
              <w:bottom w:val="nil"/>
              <w:right w:val="single" w:sz="8" w:space="0" w:color="000000"/>
            </w:tcBorders>
          </w:tcPr>
          <w:p>
            <w:pPr>
              <w:pStyle w:val="TableParagraph"/>
              <w:spacing w:before="63"/>
              <w:ind w:left="111"/>
              <w:rPr>
                <w:sz w:val="21"/>
              </w:rPr>
            </w:pPr>
            <w:r>
              <w:rPr>
                <w:sz w:val="21"/>
              </w:rPr>
              <w:t>国</w:t>
            </w:r>
            <w:r>
              <w:rPr>
                <w:rFonts w:ascii="Times New Roman" w:eastAsia="Times New Roman"/>
                <w:sz w:val="21"/>
              </w:rPr>
              <w:t>(</w:t>
            </w:r>
            <w:r>
              <w:rPr>
                <w:sz w:val="21"/>
              </w:rPr>
              <w:t>境</w:t>
            </w:r>
            <w:r>
              <w:rPr>
                <w:rFonts w:ascii="Times New Roman" w:eastAsia="Times New Roman"/>
                <w:sz w:val="21"/>
              </w:rPr>
              <w:t>)</w:t>
            </w:r>
            <w:r>
              <w:rPr>
                <w:sz w:val="21"/>
              </w:rPr>
              <w:t>外技能大赛获奖数量</w:t>
            </w:r>
          </w:p>
        </w:tc>
        <w:tc>
          <w:tcPr>
            <w:tcW w:w="740" w:type="dxa"/>
            <w:tcBorders>
              <w:top w:val="nil"/>
              <w:left w:val="single" w:sz="8" w:space="0" w:color="000000"/>
              <w:bottom w:val="nil"/>
              <w:right w:val="single" w:sz="8" w:space="0" w:color="000000"/>
            </w:tcBorders>
          </w:tcPr>
          <w:p>
            <w:pPr>
              <w:pStyle w:val="TableParagraph"/>
              <w:spacing w:before="63"/>
              <w:ind w:left="112"/>
              <w:rPr>
                <w:sz w:val="21"/>
              </w:rPr>
            </w:pPr>
            <w:r>
              <w:rPr>
                <w:w w:val="99"/>
                <w:sz w:val="21"/>
              </w:rPr>
              <w:t>项</w:t>
            </w:r>
          </w:p>
        </w:tc>
        <w:tc>
          <w:tcPr>
            <w:tcW w:w="1057" w:type="dxa"/>
            <w:tcBorders>
              <w:top w:val="nil"/>
              <w:left w:val="single" w:sz="8" w:space="0" w:color="000000"/>
              <w:bottom w:val="nil"/>
              <w:right w:val="single" w:sz="8" w:space="0" w:color="000000"/>
            </w:tcBorders>
          </w:tcPr>
          <w:p>
            <w:pPr>
              <w:pStyle w:val="TableParagraph"/>
              <w:spacing w:before="77"/>
              <w:ind w:left="112"/>
              <w:rPr>
                <w:rFonts w:ascii="Times New Roman"/>
                <w:sz w:val="21"/>
              </w:rPr>
            </w:pPr>
            <w:r>
              <w:rPr>
                <w:rFonts w:ascii="Times New Roman"/>
                <w:w w:val="99"/>
                <w:sz w:val="21"/>
              </w:rPr>
              <w:t>0</w:t>
            </w:r>
          </w:p>
        </w:tc>
        <w:tc>
          <w:tcPr>
            <w:tcW w:w="992" w:type="dxa"/>
            <w:tcBorders>
              <w:top w:val="nil"/>
              <w:left w:val="single" w:sz="8" w:space="0" w:color="000000"/>
              <w:bottom w:val="nil"/>
              <w:right w:val="single" w:sz="8" w:space="0" w:color="000000"/>
            </w:tcBorders>
          </w:tcPr>
          <w:p>
            <w:pPr>
              <w:pStyle w:val="TableParagraph"/>
              <w:spacing w:before="77"/>
              <w:ind w:left="113"/>
              <w:rPr>
                <w:rFonts w:ascii="Times New Roman"/>
                <w:sz w:val="21"/>
              </w:rPr>
            </w:pPr>
            <w:r>
              <w:rPr>
                <w:rFonts w:ascii="Times New Roman"/>
                <w:w w:val="99"/>
                <w:sz w:val="21"/>
              </w:rPr>
              <w:t>4</w:t>
            </w:r>
          </w:p>
        </w:tc>
        <w:tc>
          <w:tcPr>
            <w:tcW w:w="1984" w:type="dxa"/>
            <w:tcBorders>
              <w:top w:val="nil"/>
              <w:left w:val="single" w:sz="8" w:space="0" w:color="000000"/>
              <w:bottom w:val="nil"/>
            </w:tcBorders>
          </w:tcPr>
          <w:p>
            <w:pPr>
              <w:pStyle w:val="TableParagraph"/>
              <w:spacing w:line="190" w:lineRule="atLeast" w:before="3"/>
              <w:ind w:left="112" w:right="77"/>
              <w:rPr>
                <w:sz w:val="15"/>
              </w:rPr>
            </w:pPr>
            <w:r>
              <w:rPr>
                <w:sz w:val="15"/>
              </w:rPr>
              <w:t>李瑞祥在 </w:t>
            </w:r>
            <w:r>
              <w:rPr>
                <w:rFonts w:ascii="Times New Roman" w:eastAsia="Times New Roman"/>
                <w:sz w:val="15"/>
              </w:rPr>
              <w:t>2018 </w:t>
            </w:r>
            <w:r>
              <w:rPr>
                <w:sz w:val="15"/>
              </w:rPr>
              <w:t>年一带一路暨金砖国家技能发展与技</w:t>
            </w:r>
          </w:p>
        </w:tc>
      </w:tr>
      <w:tr>
        <w:trPr>
          <w:trHeight w:val="194"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4" w:lineRule="exact"/>
              <w:ind w:left="112"/>
              <w:rPr>
                <w:sz w:val="15"/>
              </w:rPr>
            </w:pPr>
            <w:r>
              <w:rPr>
                <w:sz w:val="15"/>
              </w:rPr>
              <w:t>术创新大赛国际选拔赛中</w:t>
            </w:r>
          </w:p>
        </w:tc>
      </w:tr>
      <w:tr>
        <w:trPr>
          <w:trHeight w:val="193"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2" w:lineRule="exact"/>
              <w:ind w:left="112"/>
              <w:rPr>
                <w:sz w:val="15"/>
              </w:rPr>
            </w:pPr>
            <w:r>
              <w:rPr>
                <w:sz w:val="15"/>
              </w:rPr>
              <w:t>荣获三等奖；</w:t>
            </w:r>
          </w:p>
        </w:tc>
      </w:tr>
      <w:tr>
        <w:trPr>
          <w:trHeight w:val="202" w:hRule="atLeast"/>
        </w:trPr>
        <w:tc>
          <w:tcPr>
            <w:tcW w:w="788" w:type="dxa"/>
            <w:tcBorders>
              <w:top w:val="nil"/>
              <w:bottom w:val="nil"/>
              <w:right w:val="single" w:sz="8" w:space="0" w:color="000000"/>
            </w:tcBorders>
          </w:tcPr>
          <w:p>
            <w:pPr>
              <w:pStyle w:val="TableParagraph"/>
              <w:rPr>
                <w:rFonts w:ascii="Times New Roman"/>
                <w:sz w:val="14"/>
              </w:rPr>
            </w:pPr>
          </w:p>
        </w:tc>
        <w:tc>
          <w:tcPr>
            <w:tcW w:w="788" w:type="dxa"/>
            <w:tcBorders>
              <w:top w:val="nil"/>
              <w:left w:val="single" w:sz="8" w:space="0" w:color="000000"/>
              <w:bottom w:val="nil"/>
              <w:right w:val="single" w:sz="8" w:space="0" w:color="000000"/>
            </w:tcBorders>
          </w:tcPr>
          <w:p>
            <w:pPr>
              <w:pStyle w:val="TableParagraph"/>
              <w:rPr>
                <w:rFonts w:ascii="Times New Roman"/>
                <w:sz w:val="14"/>
              </w:rPr>
            </w:pPr>
          </w:p>
        </w:tc>
        <w:tc>
          <w:tcPr>
            <w:tcW w:w="452" w:type="dxa"/>
            <w:tcBorders>
              <w:top w:val="nil"/>
              <w:left w:val="single" w:sz="8" w:space="0" w:color="000000"/>
              <w:bottom w:val="nil"/>
              <w:right w:val="single" w:sz="8" w:space="0" w:color="000000"/>
            </w:tcBorders>
          </w:tcPr>
          <w:p>
            <w:pPr>
              <w:pStyle w:val="TableParagraph"/>
              <w:rPr>
                <w:rFonts w:ascii="Times New Roman"/>
                <w:sz w:val="14"/>
              </w:rPr>
            </w:pPr>
          </w:p>
        </w:tc>
        <w:tc>
          <w:tcPr>
            <w:tcW w:w="2819" w:type="dxa"/>
            <w:tcBorders>
              <w:top w:val="nil"/>
              <w:left w:val="single" w:sz="8" w:space="0" w:color="000000"/>
              <w:bottom w:val="nil"/>
              <w:right w:val="single" w:sz="8" w:space="0" w:color="000000"/>
            </w:tcBorders>
          </w:tcPr>
          <w:p>
            <w:pPr>
              <w:pStyle w:val="TableParagraph"/>
              <w:rPr>
                <w:rFonts w:ascii="Times New Roman"/>
                <w:sz w:val="14"/>
              </w:rPr>
            </w:pPr>
          </w:p>
        </w:tc>
        <w:tc>
          <w:tcPr>
            <w:tcW w:w="740" w:type="dxa"/>
            <w:tcBorders>
              <w:top w:val="nil"/>
              <w:left w:val="single" w:sz="8" w:space="0" w:color="000000"/>
              <w:bottom w:val="nil"/>
              <w:right w:val="single" w:sz="8" w:space="0" w:color="000000"/>
            </w:tcBorders>
          </w:tcPr>
          <w:p>
            <w:pPr>
              <w:pStyle w:val="TableParagraph"/>
              <w:rPr>
                <w:rFonts w:ascii="Times New Roman"/>
                <w:sz w:val="14"/>
              </w:rPr>
            </w:pPr>
          </w:p>
        </w:tc>
        <w:tc>
          <w:tcPr>
            <w:tcW w:w="1057" w:type="dxa"/>
            <w:tcBorders>
              <w:top w:val="nil"/>
              <w:left w:val="single" w:sz="8" w:space="0" w:color="000000"/>
              <w:bottom w:val="nil"/>
              <w:right w:val="single" w:sz="8" w:space="0" w:color="000000"/>
            </w:tcBorders>
          </w:tcPr>
          <w:p>
            <w:pPr>
              <w:pStyle w:val="TableParagraph"/>
              <w:rPr>
                <w:rFonts w:ascii="Times New Roman"/>
                <w:sz w:val="14"/>
              </w:rPr>
            </w:pPr>
          </w:p>
        </w:tc>
        <w:tc>
          <w:tcPr>
            <w:tcW w:w="992" w:type="dxa"/>
            <w:tcBorders>
              <w:top w:val="nil"/>
              <w:left w:val="single" w:sz="8" w:space="0" w:color="000000"/>
              <w:bottom w:val="nil"/>
              <w:right w:val="single" w:sz="8" w:space="0" w:color="000000"/>
            </w:tcBorders>
          </w:tcPr>
          <w:p>
            <w:pPr>
              <w:pStyle w:val="TableParagraph"/>
              <w:rPr>
                <w:rFonts w:ascii="Times New Roman"/>
                <w:sz w:val="14"/>
              </w:rPr>
            </w:pPr>
          </w:p>
        </w:tc>
        <w:tc>
          <w:tcPr>
            <w:tcW w:w="1984" w:type="dxa"/>
            <w:tcBorders>
              <w:top w:val="nil"/>
              <w:left w:val="single" w:sz="8" w:space="0" w:color="000000"/>
              <w:bottom w:val="nil"/>
            </w:tcBorders>
          </w:tcPr>
          <w:p>
            <w:pPr>
              <w:pStyle w:val="TableParagraph"/>
              <w:spacing w:line="178" w:lineRule="exact" w:before="4"/>
              <w:ind w:left="112"/>
              <w:rPr>
                <w:sz w:val="15"/>
              </w:rPr>
            </w:pPr>
            <w:r>
              <w:rPr>
                <w:sz w:val="15"/>
              </w:rPr>
              <w:t>赵威仑在 </w:t>
            </w:r>
            <w:r>
              <w:rPr>
                <w:rFonts w:ascii="Times New Roman" w:eastAsia="Times New Roman"/>
                <w:sz w:val="15"/>
              </w:rPr>
              <w:t>2018 </w:t>
            </w:r>
            <w:r>
              <w:rPr>
                <w:sz w:val="15"/>
              </w:rPr>
              <w:t>年一带一路</w:t>
            </w:r>
          </w:p>
        </w:tc>
      </w:tr>
      <w:tr>
        <w:trPr>
          <w:trHeight w:val="188"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69" w:lineRule="exact"/>
              <w:ind w:left="112"/>
              <w:rPr>
                <w:sz w:val="15"/>
              </w:rPr>
            </w:pPr>
            <w:r>
              <w:rPr>
                <w:sz w:val="15"/>
              </w:rPr>
              <w:t>暨金砖国家技能发展与技</w:t>
            </w:r>
          </w:p>
        </w:tc>
      </w:tr>
      <w:tr>
        <w:trPr>
          <w:trHeight w:val="194" w:hRule="atLeast"/>
        </w:trPr>
        <w:tc>
          <w:tcPr>
            <w:tcW w:w="788" w:type="dxa"/>
            <w:tcBorders>
              <w:top w:val="nil"/>
              <w:bottom w:val="nil"/>
              <w:right w:val="single" w:sz="8" w:space="0" w:color="000000"/>
            </w:tcBorders>
          </w:tcPr>
          <w:p>
            <w:pPr>
              <w:pStyle w:val="TableParagraph"/>
              <w:rPr>
                <w:rFonts w:ascii="Times New Roman"/>
                <w:sz w:val="12"/>
              </w:rPr>
            </w:pPr>
          </w:p>
        </w:tc>
        <w:tc>
          <w:tcPr>
            <w:tcW w:w="788" w:type="dxa"/>
            <w:tcBorders>
              <w:top w:val="nil"/>
              <w:left w:val="single" w:sz="8" w:space="0" w:color="000000"/>
              <w:bottom w:val="nil"/>
              <w:right w:val="single" w:sz="8" w:space="0" w:color="000000"/>
            </w:tcBorders>
          </w:tcPr>
          <w:p>
            <w:pPr>
              <w:pStyle w:val="TableParagraph"/>
              <w:rPr>
                <w:rFonts w:ascii="Times New Roman"/>
                <w:sz w:val="12"/>
              </w:rPr>
            </w:pPr>
          </w:p>
        </w:tc>
        <w:tc>
          <w:tcPr>
            <w:tcW w:w="452" w:type="dxa"/>
            <w:tcBorders>
              <w:top w:val="nil"/>
              <w:left w:val="single" w:sz="8" w:space="0" w:color="000000"/>
              <w:bottom w:val="nil"/>
              <w:right w:val="single" w:sz="8" w:space="0" w:color="000000"/>
            </w:tcBorders>
          </w:tcPr>
          <w:p>
            <w:pPr>
              <w:pStyle w:val="TableParagraph"/>
              <w:rPr>
                <w:rFonts w:ascii="Times New Roman"/>
                <w:sz w:val="12"/>
              </w:rPr>
            </w:pPr>
          </w:p>
        </w:tc>
        <w:tc>
          <w:tcPr>
            <w:tcW w:w="2819" w:type="dxa"/>
            <w:tcBorders>
              <w:top w:val="nil"/>
              <w:left w:val="single" w:sz="8" w:space="0" w:color="000000"/>
              <w:bottom w:val="nil"/>
              <w:right w:val="single" w:sz="8" w:space="0" w:color="000000"/>
            </w:tcBorders>
          </w:tcPr>
          <w:p>
            <w:pPr>
              <w:pStyle w:val="TableParagraph"/>
              <w:rPr>
                <w:rFonts w:ascii="Times New Roman"/>
                <w:sz w:val="12"/>
              </w:rPr>
            </w:pPr>
          </w:p>
        </w:tc>
        <w:tc>
          <w:tcPr>
            <w:tcW w:w="740" w:type="dxa"/>
            <w:tcBorders>
              <w:top w:val="nil"/>
              <w:left w:val="single" w:sz="8" w:space="0" w:color="000000"/>
              <w:bottom w:val="nil"/>
              <w:right w:val="single" w:sz="8" w:space="0" w:color="000000"/>
            </w:tcBorders>
          </w:tcPr>
          <w:p>
            <w:pPr>
              <w:pStyle w:val="TableParagraph"/>
              <w:rPr>
                <w:rFonts w:ascii="Times New Roman"/>
                <w:sz w:val="12"/>
              </w:rPr>
            </w:pPr>
          </w:p>
        </w:tc>
        <w:tc>
          <w:tcPr>
            <w:tcW w:w="1057" w:type="dxa"/>
            <w:tcBorders>
              <w:top w:val="nil"/>
              <w:left w:val="single" w:sz="8" w:space="0" w:color="000000"/>
              <w:bottom w:val="nil"/>
              <w:right w:val="single" w:sz="8" w:space="0" w:color="000000"/>
            </w:tcBorders>
          </w:tcPr>
          <w:p>
            <w:pPr>
              <w:pStyle w:val="TableParagraph"/>
              <w:rPr>
                <w:rFonts w:ascii="Times New Roman"/>
                <w:sz w:val="12"/>
              </w:rPr>
            </w:pPr>
          </w:p>
        </w:tc>
        <w:tc>
          <w:tcPr>
            <w:tcW w:w="992" w:type="dxa"/>
            <w:tcBorders>
              <w:top w:val="nil"/>
              <w:left w:val="single" w:sz="8" w:space="0" w:color="000000"/>
              <w:bottom w:val="nil"/>
              <w:right w:val="single" w:sz="8" w:space="0" w:color="000000"/>
            </w:tcBorders>
          </w:tcPr>
          <w:p>
            <w:pPr>
              <w:pStyle w:val="TableParagraph"/>
              <w:rPr>
                <w:rFonts w:ascii="Times New Roman"/>
                <w:sz w:val="12"/>
              </w:rPr>
            </w:pPr>
          </w:p>
        </w:tc>
        <w:tc>
          <w:tcPr>
            <w:tcW w:w="1984" w:type="dxa"/>
            <w:tcBorders>
              <w:top w:val="nil"/>
              <w:left w:val="single" w:sz="8" w:space="0" w:color="000000"/>
              <w:bottom w:val="nil"/>
            </w:tcBorders>
          </w:tcPr>
          <w:p>
            <w:pPr>
              <w:pStyle w:val="TableParagraph"/>
              <w:spacing w:line="172" w:lineRule="exact" w:before="2"/>
              <w:ind w:left="112"/>
              <w:rPr>
                <w:sz w:val="15"/>
              </w:rPr>
            </w:pPr>
            <w:r>
              <w:rPr>
                <w:sz w:val="15"/>
              </w:rPr>
              <w:t>术创新大赛国际选拔赛中</w:t>
            </w:r>
          </w:p>
        </w:tc>
      </w:tr>
      <w:tr>
        <w:trPr>
          <w:trHeight w:val="328" w:hRule="atLeast"/>
        </w:trPr>
        <w:tc>
          <w:tcPr>
            <w:tcW w:w="788" w:type="dxa"/>
            <w:tcBorders>
              <w:top w:val="nil"/>
              <w:right w:val="single" w:sz="8" w:space="0" w:color="000000"/>
            </w:tcBorders>
          </w:tcPr>
          <w:p>
            <w:pPr>
              <w:pStyle w:val="TableParagraph"/>
              <w:rPr>
                <w:rFonts w:ascii="Times New Roman"/>
                <w:sz w:val="16"/>
              </w:rPr>
            </w:pPr>
          </w:p>
        </w:tc>
        <w:tc>
          <w:tcPr>
            <w:tcW w:w="788" w:type="dxa"/>
            <w:tcBorders>
              <w:top w:val="nil"/>
              <w:left w:val="single" w:sz="8" w:space="0" w:color="000000"/>
              <w:right w:val="single" w:sz="8" w:space="0" w:color="000000"/>
            </w:tcBorders>
          </w:tcPr>
          <w:p>
            <w:pPr>
              <w:pStyle w:val="TableParagraph"/>
              <w:rPr>
                <w:rFonts w:ascii="Times New Roman"/>
                <w:sz w:val="16"/>
              </w:rPr>
            </w:pPr>
          </w:p>
        </w:tc>
        <w:tc>
          <w:tcPr>
            <w:tcW w:w="452" w:type="dxa"/>
            <w:tcBorders>
              <w:top w:val="nil"/>
              <w:left w:val="single" w:sz="8" w:space="0" w:color="000000"/>
              <w:right w:val="single" w:sz="8" w:space="0" w:color="000000"/>
            </w:tcBorders>
          </w:tcPr>
          <w:p>
            <w:pPr>
              <w:pStyle w:val="TableParagraph"/>
              <w:rPr>
                <w:rFonts w:ascii="Times New Roman"/>
                <w:sz w:val="16"/>
              </w:rPr>
            </w:pPr>
          </w:p>
        </w:tc>
        <w:tc>
          <w:tcPr>
            <w:tcW w:w="2819" w:type="dxa"/>
            <w:tcBorders>
              <w:top w:val="nil"/>
              <w:left w:val="single" w:sz="8" w:space="0" w:color="000000"/>
              <w:right w:val="single" w:sz="8" w:space="0" w:color="000000"/>
            </w:tcBorders>
          </w:tcPr>
          <w:p>
            <w:pPr>
              <w:pStyle w:val="TableParagraph"/>
              <w:rPr>
                <w:rFonts w:ascii="Times New Roman"/>
                <w:sz w:val="16"/>
              </w:rPr>
            </w:pPr>
          </w:p>
        </w:tc>
        <w:tc>
          <w:tcPr>
            <w:tcW w:w="740" w:type="dxa"/>
            <w:tcBorders>
              <w:top w:val="nil"/>
              <w:left w:val="single" w:sz="8" w:space="0" w:color="000000"/>
              <w:right w:val="single" w:sz="8" w:space="0" w:color="000000"/>
            </w:tcBorders>
          </w:tcPr>
          <w:p>
            <w:pPr>
              <w:pStyle w:val="TableParagraph"/>
              <w:rPr>
                <w:rFonts w:ascii="Times New Roman"/>
                <w:sz w:val="16"/>
              </w:rPr>
            </w:pPr>
          </w:p>
        </w:tc>
        <w:tc>
          <w:tcPr>
            <w:tcW w:w="1057" w:type="dxa"/>
            <w:tcBorders>
              <w:top w:val="nil"/>
              <w:left w:val="single" w:sz="8" w:space="0" w:color="000000"/>
              <w:right w:val="single" w:sz="8" w:space="0" w:color="000000"/>
            </w:tcBorders>
          </w:tcPr>
          <w:p>
            <w:pPr>
              <w:pStyle w:val="TableParagraph"/>
              <w:rPr>
                <w:rFonts w:ascii="Times New Roman"/>
                <w:sz w:val="16"/>
              </w:rPr>
            </w:pPr>
          </w:p>
        </w:tc>
        <w:tc>
          <w:tcPr>
            <w:tcW w:w="992" w:type="dxa"/>
            <w:tcBorders>
              <w:top w:val="nil"/>
              <w:left w:val="single" w:sz="8" w:space="0" w:color="000000"/>
              <w:right w:val="single" w:sz="8" w:space="0" w:color="000000"/>
            </w:tcBorders>
          </w:tcPr>
          <w:p>
            <w:pPr>
              <w:pStyle w:val="TableParagraph"/>
              <w:rPr>
                <w:rFonts w:ascii="Times New Roman"/>
                <w:sz w:val="16"/>
              </w:rPr>
            </w:pPr>
          </w:p>
        </w:tc>
        <w:tc>
          <w:tcPr>
            <w:tcW w:w="1984" w:type="dxa"/>
            <w:tcBorders>
              <w:top w:val="nil"/>
              <w:left w:val="single" w:sz="8" w:space="0" w:color="000000"/>
            </w:tcBorders>
          </w:tcPr>
          <w:p>
            <w:pPr>
              <w:pStyle w:val="TableParagraph"/>
              <w:spacing w:line="192" w:lineRule="exact"/>
              <w:ind w:left="112"/>
              <w:rPr>
                <w:sz w:val="15"/>
              </w:rPr>
            </w:pPr>
            <w:r>
              <w:rPr>
                <w:sz w:val="15"/>
              </w:rPr>
              <w:t>荣获三等奖。</w:t>
            </w:r>
          </w:p>
        </w:tc>
      </w:tr>
    </w:tbl>
    <w:p>
      <w:pPr>
        <w:spacing w:after="0" w:line="192" w:lineRule="exact"/>
        <w:rPr>
          <w:sz w:val="15"/>
        </w:rPr>
        <w:sectPr>
          <w:pgSz w:w="11910" w:h="16840"/>
          <w:pgMar w:header="780" w:footer="1241" w:top="1260" w:bottom="1440" w:left="0" w:right="0"/>
        </w:sectPr>
      </w:pPr>
    </w:p>
    <w:p>
      <w:pPr>
        <w:pStyle w:val="BodyText"/>
        <w:rPr>
          <w:rFonts w:ascii="黑体"/>
          <w:b/>
          <w:sz w:val="20"/>
        </w:rPr>
      </w:pPr>
    </w:p>
    <w:p>
      <w:pPr>
        <w:pStyle w:val="BodyText"/>
        <w:spacing w:before="4"/>
        <w:rPr>
          <w:rFonts w:ascii="黑体"/>
          <w:b/>
          <w:sz w:val="28"/>
        </w:rPr>
      </w:pPr>
    </w:p>
    <w:p>
      <w:pPr>
        <w:spacing w:line="429" w:lineRule="exact" w:before="0"/>
        <w:ind w:left="1418" w:right="0" w:firstLine="0"/>
        <w:jc w:val="left"/>
        <w:rPr>
          <w:rFonts w:ascii="Microsoft JhengHei" w:eastAsia="Microsoft JhengHei" w:hint="eastAsia"/>
          <w:b/>
          <w:sz w:val="24"/>
        </w:rPr>
      </w:pPr>
      <w:r>
        <w:rPr>
          <w:rFonts w:ascii="Microsoft JhengHei" w:eastAsia="Microsoft JhengHei" w:hint="eastAsia"/>
          <w:b/>
          <w:w w:val="120"/>
          <w:sz w:val="24"/>
        </w:rPr>
        <w:t>开发并被国(境)外采用的专业教学标准(7 个)：</w:t>
      </w:r>
    </w:p>
    <w:p>
      <w:pPr>
        <w:pStyle w:val="ListParagraph"/>
        <w:numPr>
          <w:ilvl w:val="0"/>
          <w:numId w:val="10"/>
        </w:numPr>
        <w:tabs>
          <w:tab w:pos="2260" w:val="left" w:leader="none"/>
        </w:tabs>
        <w:spacing w:line="364" w:lineRule="auto" w:before="182" w:after="0"/>
        <w:ind w:left="1418" w:right="1365" w:firstLine="480"/>
        <w:jc w:val="left"/>
        <w:rPr>
          <w:sz w:val="24"/>
        </w:rPr>
      </w:pPr>
      <w:r>
        <w:rPr>
          <w:spacing w:val="-3"/>
          <w:sz w:val="24"/>
        </w:rPr>
        <w:t>《应用化工技术专业教学标准》被埃塞俄比亚、巴基斯坦 </w:t>
      </w:r>
      <w:r>
        <w:rPr>
          <w:sz w:val="24"/>
        </w:rPr>
        <w:t>Infinity</w:t>
      </w:r>
      <w:r>
        <w:rPr>
          <w:spacing w:val="-13"/>
          <w:sz w:val="24"/>
        </w:rPr>
        <w:t> 工程学院、</w:t>
      </w:r>
      <w:r>
        <w:rPr>
          <w:sz w:val="24"/>
        </w:rPr>
        <w:t>泰国北部职业教育中心采用；</w:t>
      </w:r>
    </w:p>
    <w:p>
      <w:pPr>
        <w:pStyle w:val="ListParagraph"/>
        <w:numPr>
          <w:ilvl w:val="0"/>
          <w:numId w:val="10"/>
        </w:numPr>
        <w:tabs>
          <w:tab w:pos="2260" w:val="left" w:leader="none"/>
        </w:tabs>
        <w:spacing w:line="364" w:lineRule="auto" w:before="0" w:after="0"/>
        <w:ind w:left="1418" w:right="1417" w:firstLine="480"/>
        <w:jc w:val="left"/>
        <w:rPr>
          <w:sz w:val="24"/>
        </w:rPr>
      </w:pPr>
      <w:r>
        <w:rPr>
          <w:spacing w:val="-4"/>
          <w:sz w:val="24"/>
        </w:rPr>
        <w:t>《工业分析技术专业教学标准》被巴基斯坦 </w:t>
      </w:r>
      <w:r>
        <w:rPr>
          <w:sz w:val="24"/>
        </w:rPr>
        <w:t>Infinity</w:t>
      </w:r>
      <w:r>
        <w:rPr>
          <w:spacing w:val="-9"/>
          <w:sz w:val="24"/>
        </w:rPr>
        <w:t> 工程学院、泰国北部职</w:t>
      </w:r>
      <w:r>
        <w:rPr>
          <w:spacing w:val="-4"/>
          <w:sz w:val="24"/>
        </w:rPr>
        <w:t>业教育中心采用；</w:t>
      </w:r>
    </w:p>
    <w:p>
      <w:pPr>
        <w:pStyle w:val="ListParagraph"/>
        <w:numPr>
          <w:ilvl w:val="0"/>
          <w:numId w:val="10"/>
        </w:numPr>
        <w:tabs>
          <w:tab w:pos="2260" w:val="left" w:leader="none"/>
        </w:tabs>
        <w:spacing w:line="364" w:lineRule="auto" w:before="0" w:after="0"/>
        <w:ind w:left="1418" w:right="1297" w:firstLine="480"/>
        <w:jc w:val="left"/>
        <w:rPr>
          <w:sz w:val="24"/>
        </w:rPr>
      </w:pPr>
      <w:r>
        <w:rPr>
          <w:spacing w:val="-8"/>
          <w:sz w:val="24"/>
        </w:rPr>
        <w:t>《机电一体化技术专业教学标准》被埃塞俄比亚、巴基斯坦 </w:t>
      </w:r>
      <w:r>
        <w:rPr>
          <w:sz w:val="24"/>
        </w:rPr>
        <w:t>Infinity</w:t>
      </w:r>
      <w:r>
        <w:rPr>
          <w:spacing w:val="-12"/>
          <w:sz w:val="24"/>
        </w:rPr>
        <w:t> 工程学院</w:t>
      </w:r>
      <w:r>
        <w:rPr>
          <w:spacing w:val="-4"/>
          <w:sz w:val="24"/>
        </w:rPr>
        <w:t>、泰国北部职业教育中心采用；</w:t>
      </w:r>
    </w:p>
    <w:p>
      <w:pPr>
        <w:pStyle w:val="ListParagraph"/>
        <w:numPr>
          <w:ilvl w:val="0"/>
          <w:numId w:val="10"/>
        </w:numPr>
        <w:tabs>
          <w:tab w:pos="2260" w:val="left" w:leader="none"/>
        </w:tabs>
        <w:spacing w:line="364" w:lineRule="auto" w:before="0" w:after="0"/>
        <w:ind w:left="1418" w:right="1365" w:firstLine="480"/>
        <w:jc w:val="left"/>
        <w:rPr>
          <w:sz w:val="24"/>
        </w:rPr>
      </w:pPr>
      <w:r>
        <w:rPr>
          <w:spacing w:val="-3"/>
          <w:sz w:val="24"/>
        </w:rPr>
        <w:t>《精细化工技术专业教学标准》被埃塞俄比亚、巴基斯坦 </w:t>
      </w:r>
      <w:r>
        <w:rPr>
          <w:sz w:val="24"/>
        </w:rPr>
        <w:t>Infinity</w:t>
      </w:r>
      <w:r>
        <w:rPr>
          <w:spacing w:val="-13"/>
          <w:sz w:val="24"/>
        </w:rPr>
        <w:t> 工程学院、</w:t>
      </w:r>
      <w:r>
        <w:rPr>
          <w:sz w:val="24"/>
        </w:rPr>
        <w:t>泰国北部职业教育中心采用；</w:t>
      </w:r>
    </w:p>
    <w:p>
      <w:pPr>
        <w:pStyle w:val="ListParagraph"/>
        <w:numPr>
          <w:ilvl w:val="0"/>
          <w:numId w:val="10"/>
        </w:numPr>
        <w:tabs>
          <w:tab w:pos="2260" w:val="left" w:leader="none"/>
        </w:tabs>
        <w:spacing w:line="364" w:lineRule="auto" w:before="0" w:after="0"/>
        <w:ind w:left="1418" w:right="1417" w:firstLine="480"/>
        <w:jc w:val="left"/>
        <w:rPr>
          <w:sz w:val="24"/>
        </w:rPr>
      </w:pPr>
      <w:r>
        <w:rPr>
          <w:spacing w:val="-4"/>
          <w:sz w:val="24"/>
        </w:rPr>
        <w:t>《食品生物技术专业教学标准》被巴基斯坦 </w:t>
      </w:r>
      <w:r>
        <w:rPr>
          <w:sz w:val="24"/>
        </w:rPr>
        <w:t>Infinity</w:t>
      </w:r>
      <w:r>
        <w:rPr>
          <w:spacing w:val="-9"/>
          <w:sz w:val="24"/>
        </w:rPr>
        <w:t> 工程学院、泰国北部职</w:t>
      </w:r>
      <w:r>
        <w:rPr>
          <w:spacing w:val="-4"/>
          <w:sz w:val="24"/>
        </w:rPr>
        <w:t>业教育中心采用；</w:t>
      </w:r>
    </w:p>
    <w:p>
      <w:pPr>
        <w:pStyle w:val="ListParagraph"/>
        <w:numPr>
          <w:ilvl w:val="0"/>
          <w:numId w:val="10"/>
        </w:numPr>
        <w:tabs>
          <w:tab w:pos="2260" w:val="left" w:leader="none"/>
        </w:tabs>
        <w:spacing w:line="364" w:lineRule="auto" w:before="0" w:after="0"/>
        <w:ind w:left="1418" w:right="1365" w:firstLine="480"/>
        <w:jc w:val="left"/>
        <w:rPr>
          <w:sz w:val="24"/>
        </w:rPr>
      </w:pPr>
      <w:r>
        <w:rPr>
          <w:spacing w:val="-3"/>
          <w:sz w:val="24"/>
        </w:rPr>
        <w:t>《石油化工技术专业教学标准》被埃塞俄比亚、巴基斯坦 </w:t>
      </w:r>
      <w:r>
        <w:rPr>
          <w:sz w:val="24"/>
        </w:rPr>
        <w:t>Infinity</w:t>
      </w:r>
      <w:r>
        <w:rPr>
          <w:spacing w:val="-13"/>
          <w:sz w:val="24"/>
        </w:rPr>
        <w:t> 工程学院、</w:t>
      </w:r>
      <w:r>
        <w:rPr>
          <w:sz w:val="24"/>
        </w:rPr>
        <w:t>泰国北部职业教育中心采用；</w:t>
      </w:r>
    </w:p>
    <w:p>
      <w:pPr>
        <w:pStyle w:val="ListParagraph"/>
        <w:numPr>
          <w:ilvl w:val="0"/>
          <w:numId w:val="10"/>
        </w:numPr>
        <w:tabs>
          <w:tab w:pos="2260" w:val="left" w:leader="none"/>
        </w:tabs>
        <w:spacing w:line="362" w:lineRule="auto" w:before="0" w:after="0"/>
        <w:ind w:left="1418" w:right="1417" w:firstLine="480"/>
        <w:jc w:val="left"/>
        <w:rPr>
          <w:sz w:val="24"/>
        </w:rPr>
      </w:pPr>
      <w:r>
        <w:rPr>
          <w:spacing w:val="-5"/>
          <w:sz w:val="24"/>
        </w:rPr>
        <w:t>《数控技术专业教学标准》被巴基斯坦 </w:t>
      </w:r>
      <w:r>
        <w:rPr>
          <w:sz w:val="24"/>
        </w:rPr>
        <w:t>Infinity</w:t>
      </w:r>
      <w:r>
        <w:rPr>
          <w:spacing w:val="-9"/>
          <w:sz w:val="24"/>
        </w:rPr>
        <w:t> 工程学院、泰国北部职业教</w:t>
      </w:r>
      <w:r>
        <w:rPr>
          <w:spacing w:val="-4"/>
          <w:sz w:val="24"/>
        </w:rPr>
        <w:t>育中心采用。</w:t>
      </w:r>
    </w:p>
    <w:p>
      <w:pPr>
        <w:pStyle w:val="BodyText"/>
      </w:pPr>
    </w:p>
    <w:p>
      <w:pPr>
        <w:pStyle w:val="Heading2"/>
        <w:spacing w:before="156"/>
        <w:ind w:left="1418" w:firstLine="0"/>
        <w:rPr>
          <w:rFonts w:ascii="Microsoft JhengHei" w:eastAsia="Microsoft JhengHei" w:hint="eastAsia"/>
        </w:rPr>
      </w:pPr>
      <w:r>
        <w:rPr>
          <w:rFonts w:ascii="Microsoft JhengHei" w:eastAsia="Microsoft JhengHei" w:hint="eastAsia"/>
          <w:w w:val="110"/>
        </w:rPr>
        <w:t>开发并被国</w:t>
      </w:r>
      <w:r>
        <w:rPr>
          <w:rFonts w:ascii="Microsoft JhengHei" w:eastAsia="Microsoft JhengHei" w:hint="eastAsia"/>
          <w:w w:val="115"/>
        </w:rPr>
        <w:t>(</w:t>
      </w:r>
      <w:r>
        <w:rPr>
          <w:rFonts w:ascii="Microsoft JhengHei" w:eastAsia="Microsoft JhengHei" w:hint="eastAsia"/>
          <w:w w:val="110"/>
        </w:rPr>
        <w:t>境</w:t>
      </w:r>
      <w:r>
        <w:rPr>
          <w:rFonts w:ascii="Microsoft JhengHei" w:eastAsia="Microsoft JhengHei" w:hint="eastAsia"/>
          <w:w w:val="115"/>
        </w:rPr>
        <w:t>)</w:t>
      </w:r>
      <w:r>
        <w:rPr>
          <w:rFonts w:ascii="Microsoft JhengHei" w:eastAsia="Microsoft JhengHei" w:hint="eastAsia"/>
          <w:w w:val="110"/>
        </w:rPr>
        <w:t>外采用的课程标准(58 个)：</w:t>
      </w:r>
    </w:p>
    <w:p>
      <w:pPr>
        <w:pStyle w:val="ListParagraph"/>
        <w:numPr>
          <w:ilvl w:val="0"/>
          <w:numId w:val="11"/>
        </w:numPr>
        <w:tabs>
          <w:tab w:pos="2260" w:val="left" w:leader="none"/>
        </w:tabs>
        <w:spacing w:line="364" w:lineRule="auto" w:before="183" w:after="0"/>
        <w:ind w:left="1418" w:right="1417" w:firstLine="480"/>
        <w:jc w:val="left"/>
        <w:rPr>
          <w:sz w:val="24"/>
        </w:rPr>
      </w:pPr>
      <w:r>
        <w:rPr>
          <w:spacing w:val="-6"/>
          <w:sz w:val="24"/>
        </w:rPr>
        <w:t>《化妆品检测课程标准》被巴基斯坦 </w:t>
      </w:r>
      <w:r>
        <w:rPr>
          <w:sz w:val="24"/>
        </w:rPr>
        <w:t>Infinity</w:t>
      </w:r>
      <w:r>
        <w:rPr>
          <w:spacing w:val="-9"/>
          <w:sz w:val="24"/>
        </w:rPr>
        <w:t> 工程学院、泰国北部职业教育</w:t>
      </w:r>
      <w:r>
        <w:rPr>
          <w:spacing w:val="-5"/>
          <w:sz w:val="24"/>
        </w:rPr>
        <w:t>中心采用；</w:t>
      </w:r>
    </w:p>
    <w:p>
      <w:pPr>
        <w:pStyle w:val="ListParagraph"/>
        <w:numPr>
          <w:ilvl w:val="0"/>
          <w:numId w:val="11"/>
        </w:numPr>
        <w:tabs>
          <w:tab w:pos="2260" w:val="left" w:leader="none"/>
        </w:tabs>
        <w:spacing w:line="362" w:lineRule="auto" w:before="1" w:after="0"/>
        <w:ind w:left="1418" w:right="1417" w:firstLine="480"/>
        <w:jc w:val="left"/>
        <w:rPr>
          <w:sz w:val="24"/>
        </w:rPr>
      </w:pPr>
      <w:r>
        <w:rPr>
          <w:spacing w:val="-5"/>
          <w:sz w:val="24"/>
        </w:rPr>
        <w:t>《化妆品生产技术课程标准》被巴基斯坦 </w:t>
      </w:r>
      <w:r>
        <w:rPr>
          <w:sz w:val="24"/>
        </w:rPr>
        <w:t>Infinity</w:t>
      </w:r>
      <w:r>
        <w:rPr>
          <w:spacing w:val="-9"/>
          <w:sz w:val="24"/>
        </w:rPr>
        <w:t> 工程学院、泰国北部职业</w:t>
      </w:r>
      <w:r>
        <w:rPr>
          <w:spacing w:val="-4"/>
          <w:sz w:val="24"/>
        </w:rPr>
        <w:t>教育中心采用；</w:t>
      </w:r>
    </w:p>
    <w:p>
      <w:pPr>
        <w:pStyle w:val="ListParagraph"/>
        <w:numPr>
          <w:ilvl w:val="0"/>
          <w:numId w:val="11"/>
        </w:numPr>
        <w:tabs>
          <w:tab w:pos="2260" w:val="left" w:leader="none"/>
        </w:tabs>
        <w:spacing w:line="362" w:lineRule="auto" w:before="5" w:after="0"/>
        <w:ind w:left="1418" w:right="1417" w:firstLine="480"/>
        <w:jc w:val="left"/>
        <w:rPr>
          <w:sz w:val="24"/>
        </w:rPr>
      </w:pPr>
      <w:r>
        <w:rPr>
          <w:spacing w:val="-6"/>
          <w:sz w:val="24"/>
        </w:rPr>
        <w:t>《化妆品配方课程标准》被巴基斯坦 </w:t>
      </w:r>
      <w:r>
        <w:rPr>
          <w:sz w:val="24"/>
        </w:rPr>
        <w:t>Infinity</w:t>
      </w:r>
      <w:r>
        <w:rPr>
          <w:spacing w:val="-9"/>
          <w:sz w:val="24"/>
        </w:rPr>
        <w:t> 工程学院、泰国北部职业教育</w:t>
      </w:r>
      <w:r>
        <w:rPr>
          <w:spacing w:val="-5"/>
          <w:sz w:val="24"/>
        </w:rPr>
        <w:t>中心采用；</w:t>
      </w:r>
    </w:p>
    <w:p>
      <w:pPr>
        <w:pStyle w:val="ListParagraph"/>
        <w:numPr>
          <w:ilvl w:val="0"/>
          <w:numId w:val="11"/>
        </w:numPr>
        <w:tabs>
          <w:tab w:pos="2260" w:val="left" w:leader="none"/>
        </w:tabs>
        <w:spacing w:line="362" w:lineRule="auto" w:before="5" w:after="0"/>
        <w:ind w:left="1418" w:right="1417" w:firstLine="480"/>
        <w:jc w:val="left"/>
        <w:rPr>
          <w:sz w:val="24"/>
        </w:rPr>
      </w:pPr>
      <w:r>
        <w:rPr>
          <w:spacing w:val="-5"/>
          <w:sz w:val="24"/>
        </w:rPr>
        <w:t>《油品检测技术课程标准》被巴基斯坦 </w:t>
      </w:r>
      <w:r>
        <w:rPr>
          <w:sz w:val="24"/>
        </w:rPr>
        <w:t>Infinity</w:t>
      </w:r>
      <w:r>
        <w:rPr>
          <w:spacing w:val="-9"/>
          <w:sz w:val="24"/>
        </w:rPr>
        <w:t> 工程学院、泰国北部职业教</w:t>
      </w:r>
      <w:r>
        <w:rPr>
          <w:spacing w:val="-4"/>
          <w:sz w:val="24"/>
        </w:rPr>
        <w:t>育中心采用；</w:t>
      </w:r>
    </w:p>
    <w:p>
      <w:pPr>
        <w:pStyle w:val="ListParagraph"/>
        <w:numPr>
          <w:ilvl w:val="0"/>
          <w:numId w:val="11"/>
        </w:numPr>
        <w:tabs>
          <w:tab w:pos="2260" w:val="left" w:leader="none"/>
        </w:tabs>
        <w:spacing w:line="362" w:lineRule="auto" w:before="5" w:after="0"/>
        <w:ind w:left="1418" w:right="1365" w:firstLine="480"/>
        <w:jc w:val="left"/>
        <w:rPr>
          <w:sz w:val="24"/>
        </w:rPr>
      </w:pPr>
      <w:r>
        <w:rPr>
          <w:spacing w:val="-3"/>
          <w:sz w:val="24"/>
        </w:rPr>
        <w:t>《有机化工生产技术课程标准》被埃塞俄比亚、巴基斯坦 </w:t>
      </w:r>
      <w:r>
        <w:rPr>
          <w:sz w:val="24"/>
        </w:rPr>
        <w:t>Infinity</w:t>
      </w:r>
      <w:r>
        <w:rPr>
          <w:spacing w:val="-13"/>
          <w:sz w:val="24"/>
        </w:rPr>
        <w:t> 工程学院、</w:t>
      </w:r>
      <w:r>
        <w:rPr>
          <w:sz w:val="24"/>
        </w:rPr>
        <w:t>泰国北部职业教育中心采用；</w:t>
      </w:r>
    </w:p>
    <w:p>
      <w:pPr>
        <w:pStyle w:val="ListParagraph"/>
        <w:numPr>
          <w:ilvl w:val="0"/>
          <w:numId w:val="11"/>
        </w:numPr>
        <w:tabs>
          <w:tab w:pos="2260" w:val="left" w:leader="none"/>
        </w:tabs>
        <w:spacing w:line="240" w:lineRule="auto" w:before="5" w:after="0"/>
        <w:ind w:left="2259" w:right="0" w:hanging="362"/>
        <w:jc w:val="left"/>
        <w:rPr>
          <w:sz w:val="24"/>
        </w:rPr>
      </w:pPr>
      <w:r>
        <w:rPr>
          <w:spacing w:val="-3"/>
          <w:sz w:val="24"/>
        </w:rPr>
        <w:t>《石油加工生产技术课程标准》被埃塞俄比亚、巴基斯坦 </w:t>
      </w:r>
      <w:r>
        <w:rPr>
          <w:sz w:val="24"/>
        </w:rPr>
        <w:t>Infinity</w:t>
      </w:r>
      <w:r>
        <w:rPr>
          <w:spacing w:val="-10"/>
          <w:sz w:val="24"/>
        </w:rPr>
        <w:t> 工程学院、</w:t>
      </w:r>
    </w:p>
    <w:p>
      <w:pPr>
        <w:spacing w:after="0" w:line="240" w:lineRule="auto"/>
        <w:jc w:val="left"/>
        <w:rPr>
          <w:sz w:val="24"/>
        </w:rPr>
        <w:sectPr>
          <w:pgSz w:w="11910" w:h="16840"/>
          <w:pgMar w:header="780" w:footer="1241" w:top="1260" w:bottom="1440" w:left="0" w:right="0"/>
        </w:sectPr>
      </w:pPr>
    </w:p>
    <w:p>
      <w:pPr>
        <w:pStyle w:val="BodyText"/>
        <w:spacing w:before="141"/>
        <w:ind w:left="1418"/>
      </w:pPr>
      <w:r>
        <w:rPr/>
        <w:t>泰国北部职业教育中心采用；</w:t>
      </w:r>
    </w:p>
    <w:p>
      <w:pPr>
        <w:pStyle w:val="ListParagraph"/>
        <w:numPr>
          <w:ilvl w:val="0"/>
          <w:numId w:val="11"/>
        </w:numPr>
        <w:tabs>
          <w:tab w:pos="2260" w:val="left" w:leader="none"/>
        </w:tabs>
        <w:spacing w:line="364" w:lineRule="auto" w:before="158" w:after="0"/>
        <w:ind w:left="1418" w:right="1417" w:firstLine="480"/>
        <w:jc w:val="left"/>
        <w:rPr>
          <w:sz w:val="24"/>
        </w:rPr>
      </w:pPr>
      <w:r>
        <w:rPr>
          <w:spacing w:val="-5"/>
          <w:sz w:val="24"/>
        </w:rPr>
        <w:t>《高分子材料分析与测试课程标准》被埃塞俄比亚、巴基斯坦 </w:t>
      </w:r>
      <w:r>
        <w:rPr>
          <w:sz w:val="24"/>
        </w:rPr>
        <w:t>Infinity</w:t>
      </w:r>
      <w:r>
        <w:rPr>
          <w:spacing w:val="-20"/>
          <w:sz w:val="24"/>
        </w:rPr>
        <w:t> 工程</w:t>
      </w:r>
      <w:r>
        <w:rPr>
          <w:spacing w:val="-4"/>
          <w:sz w:val="24"/>
        </w:rPr>
        <w:t>学院、泰国北部职业教育中心采用；</w:t>
      </w:r>
    </w:p>
    <w:p>
      <w:pPr>
        <w:pStyle w:val="ListParagraph"/>
        <w:numPr>
          <w:ilvl w:val="0"/>
          <w:numId w:val="11"/>
        </w:numPr>
        <w:tabs>
          <w:tab w:pos="2260" w:val="left" w:leader="none"/>
        </w:tabs>
        <w:spacing w:line="362" w:lineRule="auto" w:before="1" w:after="0"/>
        <w:ind w:left="1418" w:right="1365" w:firstLine="480"/>
        <w:jc w:val="left"/>
        <w:rPr>
          <w:sz w:val="24"/>
        </w:rPr>
      </w:pPr>
      <w:r>
        <w:rPr>
          <w:spacing w:val="-3"/>
          <w:sz w:val="24"/>
        </w:rPr>
        <w:t>《高分子化学与物理课程标准》被埃塞俄比亚、巴基斯坦 </w:t>
      </w:r>
      <w:r>
        <w:rPr>
          <w:sz w:val="24"/>
        </w:rPr>
        <w:t>Infinity</w:t>
      </w:r>
      <w:r>
        <w:rPr>
          <w:spacing w:val="-13"/>
          <w:sz w:val="24"/>
        </w:rPr>
        <w:t> 工程学院、</w:t>
      </w:r>
      <w:r>
        <w:rPr>
          <w:sz w:val="24"/>
        </w:rPr>
        <w:t>泰国北部职业教育中心采用；</w:t>
      </w:r>
    </w:p>
    <w:p>
      <w:pPr>
        <w:pStyle w:val="ListParagraph"/>
        <w:numPr>
          <w:ilvl w:val="0"/>
          <w:numId w:val="11"/>
        </w:numPr>
        <w:tabs>
          <w:tab w:pos="2260" w:val="left" w:leader="none"/>
        </w:tabs>
        <w:spacing w:line="362" w:lineRule="auto" w:before="5" w:after="0"/>
        <w:ind w:left="1418" w:right="1417" w:firstLine="480"/>
        <w:jc w:val="left"/>
        <w:rPr>
          <w:sz w:val="24"/>
        </w:rPr>
      </w:pPr>
      <w:r>
        <w:rPr>
          <w:spacing w:val="-5"/>
          <w:sz w:val="24"/>
        </w:rPr>
        <w:t>《高聚物生产技术课程标准》被埃塞俄比亚、巴基斯坦 </w:t>
      </w:r>
      <w:r>
        <w:rPr>
          <w:sz w:val="24"/>
        </w:rPr>
        <w:t>Infinity</w:t>
      </w:r>
      <w:r>
        <w:rPr>
          <w:spacing w:val="-13"/>
          <w:sz w:val="24"/>
        </w:rPr>
        <w:t> 工程学院、泰</w:t>
      </w:r>
      <w:r>
        <w:rPr>
          <w:sz w:val="24"/>
        </w:rPr>
        <w:t>国北部职业教育中心采用；</w:t>
      </w:r>
    </w:p>
    <w:p>
      <w:pPr>
        <w:pStyle w:val="ListParagraph"/>
        <w:numPr>
          <w:ilvl w:val="0"/>
          <w:numId w:val="11"/>
        </w:numPr>
        <w:tabs>
          <w:tab w:pos="2384" w:val="left" w:leader="none"/>
        </w:tabs>
        <w:spacing w:line="362" w:lineRule="auto" w:before="5" w:after="0"/>
        <w:ind w:left="1418" w:right="1416" w:firstLine="480"/>
        <w:jc w:val="left"/>
        <w:rPr>
          <w:sz w:val="24"/>
        </w:rPr>
      </w:pPr>
      <w:r>
        <w:rPr>
          <w:spacing w:val="-2"/>
          <w:sz w:val="24"/>
        </w:rPr>
        <w:t>《涂料配方设计课程标准》被埃塞俄比亚、巴基斯坦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2" w:lineRule="auto" w:before="5" w:after="0"/>
        <w:ind w:left="1418" w:right="1417" w:firstLine="480"/>
        <w:jc w:val="left"/>
        <w:rPr>
          <w:sz w:val="24"/>
        </w:rPr>
      </w:pPr>
      <w:r>
        <w:rPr>
          <w:spacing w:val="-2"/>
          <w:sz w:val="24"/>
        </w:rPr>
        <w:t>《无机化工生产技术与操作课程标准》被埃塞俄比亚、巴基斯坦 </w:t>
      </w:r>
      <w:r>
        <w:rPr>
          <w:sz w:val="24"/>
        </w:rPr>
        <w:t>Infinity</w:t>
      </w:r>
      <w:r>
        <w:rPr>
          <w:spacing w:val="-18"/>
          <w:sz w:val="24"/>
        </w:rPr>
        <w:t> 工程学院、泰国北部职业教育中心采用；</w:t>
      </w:r>
    </w:p>
    <w:p>
      <w:pPr>
        <w:pStyle w:val="ListParagraph"/>
        <w:numPr>
          <w:ilvl w:val="0"/>
          <w:numId w:val="11"/>
        </w:numPr>
        <w:tabs>
          <w:tab w:pos="2384" w:val="left" w:leader="none"/>
        </w:tabs>
        <w:spacing w:line="362" w:lineRule="auto" w:before="5" w:after="0"/>
        <w:ind w:left="1418" w:right="1416" w:firstLine="480"/>
        <w:jc w:val="left"/>
        <w:rPr>
          <w:sz w:val="24"/>
        </w:rPr>
      </w:pPr>
      <w:r>
        <w:rPr>
          <w:spacing w:val="-2"/>
          <w:sz w:val="24"/>
        </w:rPr>
        <w:t>《工业废弃物处理技术课程标准》被埃塞俄比亚、巴基斯坦 </w:t>
      </w:r>
      <w:r>
        <w:rPr>
          <w:sz w:val="24"/>
        </w:rPr>
        <w:t>Infinity</w:t>
      </w:r>
      <w:r>
        <w:rPr>
          <w:spacing w:val="-9"/>
          <w:sz w:val="24"/>
        </w:rPr>
        <w:t> 工程学院、泰国北部职业教育中心采用；</w:t>
      </w:r>
    </w:p>
    <w:p>
      <w:pPr>
        <w:pStyle w:val="ListParagraph"/>
        <w:numPr>
          <w:ilvl w:val="0"/>
          <w:numId w:val="11"/>
        </w:numPr>
        <w:tabs>
          <w:tab w:pos="2384" w:val="left" w:leader="none"/>
        </w:tabs>
        <w:spacing w:line="364" w:lineRule="auto" w:before="5" w:after="0"/>
        <w:ind w:left="1418" w:right="1417" w:firstLine="480"/>
        <w:jc w:val="left"/>
        <w:rPr>
          <w:sz w:val="24"/>
        </w:rPr>
      </w:pPr>
      <w:r>
        <w:rPr>
          <w:spacing w:val="-9"/>
          <w:sz w:val="24"/>
        </w:rPr>
        <w:t>《化工单元 </w:t>
      </w:r>
      <w:r>
        <w:rPr>
          <w:sz w:val="24"/>
        </w:rPr>
        <w:t>DCS</w:t>
      </w:r>
      <w:r>
        <w:rPr>
          <w:spacing w:val="-9"/>
          <w:sz w:val="24"/>
        </w:rPr>
        <w:t> 技术与操作课程标准》被埃塞俄比亚、巴基斯坦 </w:t>
      </w:r>
      <w:r>
        <w:rPr>
          <w:sz w:val="24"/>
        </w:rPr>
        <w:t>Infinity</w:t>
      </w:r>
      <w:r>
        <w:rPr>
          <w:spacing w:val="-24"/>
          <w:sz w:val="24"/>
        </w:rPr>
        <w:t> 工程学院、泰国北部职业教育中心采用；</w:t>
      </w:r>
    </w:p>
    <w:p>
      <w:pPr>
        <w:pStyle w:val="ListParagraph"/>
        <w:numPr>
          <w:ilvl w:val="0"/>
          <w:numId w:val="11"/>
        </w:numPr>
        <w:tabs>
          <w:tab w:pos="2384" w:val="left" w:leader="none"/>
        </w:tabs>
        <w:spacing w:line="364" w:lineRule="auto" w:before="0" w:after="0"/>
        <w:ind w:left="1418" w:right="1416" w:firstLine="480"/>
        <w:jc w:val="left"/>
        <w:rPr>
          <w:sz w:val="24"/>
        </w:rPr>
      </w:pPr>
      <w:r>
        <w:rPr>
          <w:spacing w:val="-2"/>
          <w:sz w:val="24"/>
        </w:rPr>
        <w:t>《反应器操作技术课程标准》被埃塞俄比亚、巴基斯坦 </w:t>
      </w:r>
      <w:r>
        <w:rPr>
          <w:sz w:val="24"/>
        </w:rPr>
        <w:t>Infinity</w:t>
      </w:r>
      <w:r>
        <w:rPr>
          <w:spacing w:val="-7"/>
          <w:sz w:val="24"/>
        </w:rPr>
        <w:t> 工程学院、泰国北部职业教育中心采用；</w:t>
      </w:r>
    </w:p>
    <w:p>
      <w:pPr>
        <w:pStyle w:val="ListParagraph"/>
        <w:numPr>
          <w:ilvl w:val="0"/>
          <w:numId w:val="11"/>
        </w:numPr>
        <w:tabs>
          <w:tab w:pos="2384" w:val="left" w:leader="none"/>
        </w:tabs>
        <w:spacing w:line="362" w:lineRule="auto" w:before="0" w:after="0"/>
        <w:ind w:left="1418" w:right="1416" w:firstLine="480"/>
        <w:jc w:val="left"/>
        <w:rPr>
          <w:sz w:val="24"/>
        </w:rPr>
      </w:pPr>
      <w:r>
        <w:rPr>
          <w:spacing w:val="-2"/>
          <w:sz w:val="24"/>
        </w:rPr>
        <w:t>《化工单元操作课程标准》被埃塞俄比亚、巴基斯坦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4" w:lineRule="auto" w:before="2" w:after="0"/>
        <w:ind w:left="1418" w:right="1416" w:firstLine="480"/>
        <w:jc w:val="left"/>
        <w:rPr>
          <w:sz w:val="24"/>
        </w:rPr>
      </w:pPr>
      <w:r>
        <w:rPr>
          <w:spacing w:val="-2"/>
          <w:sz w:val="24"/>
        </w:rPr>
        <w:t>《涂料生产工艺课程标准》被埃塞俄比亚、巴基斯坦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4" w:lineRule="auto" w:before="0" w:after="0"/>
        <w:ind w:left="1418" w:right="1416" w:firstLine="480"/>
        <w:jc w:val="left"/>
        <w:rPr>
          <w:sz w:val="24"/>
        </w:rPr>
      </w:pPr>
      <w:r>
        <w:rPr>
          <w:spacing w:val="-2"/>
          <w:sz w:val="24"/>
        </w:rPr>
        <w:t>《化妆品配方设计与生产工艺课程标》准被巴基斯坦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4" w:lineRule="auto" w:before="0" w:after="0"/>
        <w:ind w:left="1418" w:right="1418" w:firstLine="480"/>
        <w:jc w:val="left"/>
        <w:rPr>
          <w:sz w:val="24"/>
        </w:rPr>
      </w:pPr>
      <w:r>
        <w:rPr>
          <w:spacing w:val="-2"/>
          <w:sz w:val="24"/>
        </w:rPr>
        <w:t>《化工制图与测绘课程标准》被巴基斯坦 </w:t>
      </w:r>
      <w:r>
        <w:rPr>
          <w:sz w:val="24"/>
        </w:rPr>
        <w:t>Infinity</w:t>
      </w:r>
      <w:r>
        <w:rPr>
          <w:spacing w:val="-7"/>
          <w:sz w:val="24"/>
        </w:rPr>
        <w:t> 工程学院、泰国北部职业教育中心采用；</w:t>
      </w:r>
    </w:p>
    <w:p>
      <w:pPr>
        <w:pStyle w:val="ListParagraph"/>
        <w:numPr>
          <w:ilvl w:val="0"/>
          <w:numId w:val="11"/>
        </w:numPr>
        <w:tabs>
          <w:tab w:pos="2384" w:val="left" w:leader="none"/>
        </w:tabs>
        <w:spacing w:line="364" w:lineRule="auto" w:before="0" w:after="0"/>
        <w:ind w:left="1418" w:right="1416" w:firstLine="480"/>
        <w:jc w:val="left"/>
        <w:rPr>
          <w:sz w:val="24"/>
        </w:rPr>
      </w:pPr>
      <w:r>
        <w:rPr>
          <w:spacing w:val="-2"/>
          <w:sz w:val="24"/>
        </w:rPr>
        <w:t>《化工设备课程标准》被埃塞俄比亚、巴基斯坦 </w:t>
      </w:r>
      <w:r>
        <w:rPr>
          <w:sz w:val="24"/>
        </w:rPr>
        <w:t>Infinity</w:t>
      </w:r>
      <w:r>
        <w:rPr>
          <w:spacing w:val="-6"/>
          <w:sz w:val="24"/>
        </w:rPr>
        <w:t> 工程学院、泰国北部职业教育中心采用；</w:t>
      </w:r>
    </w:p>
    <w:p>
      <w:pPr>
        <w:pStyle w:val="ListParagraph"/>
        <w:numPr>
          <w:ilvl w:val="0"/>
          <w:numId w:val="11"/>
        </w:numPr>
        <w:tabs>
          <w:tab w:pos="2386" w:val="left" w:leader="none"/>
        </w:tabs>
        <w:spacing w:line="364" w:lineRule="auto" w:before="0" w:after="0"/>
        <w:ind w:left="1418" w:right="1417" w:firstLine="480"/>
        <w:jc w:val="left"/>
        <w:rPr>
          <w:sz w:val="24"/>
        </w:rPr>
      </w:pPr>
      <w:r>
        <w:rPr>
          <w:spacing w:val="-2"/>
          <w:sz w:val="24"/>
        </w:rPr>
        <w:t>《智能控制技术专业仪器设备装备规范》被埃塞俄比亚、巴基斯坦 </w:t>
      </w:r>
      <w:r>
        <w:rPr>
          <w:sz w:val="24"/>
        </w:rPr>
        <w:t>Infinity 工程学院、泰国北部职业教育中心采用；</w:t>
      </w:r>
    </w:p>
    <w:p>
      <w:pPr>
        <w:pStyle w:val="ListParagraph"/>
        <w:numPr>
          <w:ilvl w:val="0"/>
          <w:numId w:val="11"/>
        </w:numPr>
        <w:tabs>
          <w:tab w:pos="2384" w:val="left" w:leader="none"/>
        </w:tabs>
        <w:spacing w:line="306" w:lineRule="exact" w:before="0" w:after="0"/>
        <w:ind w:left="2383" w:right="0" w:hanging="486"/>
        <w:jc w:val="left"/>
        <w:rPr>
          <w:sz w:val="24"/>
        </w:rPr>
      </w:pPr>
      <w:r>
        <w:rPr>
          <w:spacing w:val="-3"/>
          <w:sz w:val="24"/>
        </w:rPr>
        <w:t>《弧焊机器人操作编程培训标准》被巴基斯坦 </w:t>
      </w:r>
      <w:r>
        <w:rPr>
          <w:sz w:val="24"/>
        </w:rPr>
        <w:t>Infinity</w:t>
      </w:r>
      <w:r>
        <w:rPr>
          <w:spacing w:val="-8"/>
          <w:sz w:val="24"/>
        </w:rPr>
        <w:t> 工程学院、泰国北部</w:t>
      </w:r>
    </w:p>
    <w:p>
      <w:pPr>
        <w:spacing w:after="0" w:line="306" w:lineRule="exact"/>
        <w:jc w:val="left"/>
        <w:rPr>
          <w:sz w:val="24"/>
        </w:rPr>
        <w:sectPr>
          <w:pgSz w:w="11910" w:h="16840"/>
          <w:pgMar w:header="780" w:footer="1241" w:top="1260" w:bottom="1440" w:left="0" w:right="0"/>
        </w:sectPr>
      </w:pPr>
    </w:p>
    <w:p>
      <w:pPr>
        <w:pStyle w:val="BodyText"/>
        <w:spacing w:before="141"/>
        <w:ind w:left="1418"/>
      </w:pPr>
      <w:r>
        <w:rPr/>
        <w:t>职业教育中心采用；</w:t>
      </w:r>
    </w:p>
    <w:p>
      <w:pPr>
        <w:pStyle w:val="ListParagraph"/>
        <w:numPr>
          <w:ilvl w:val="0"/>
          <w:numId w:val="11"/>
        </w:numPr>
        <w:tabs>
          <w:tab w:pos="2384" w:val="left" w:leader="none"/>
        </w:tabs>
        <w:spacing w:line="364" w:lineRule="auto" w:before="158" w:after="0"/>
        <w:ind w:left="1418" w:right="1418" w:firstLine="480"/>
        <w:jc w:val="left"/>
        <w:rPr>
          <w:sz w:val="24"/>
        </w:rPr>
      </w:pPr>
      <w:r>
        <w:rPr>
          <w:spacing w:val="-3"/>
          <w:sz w:val="24"/>
        </w:rPr>
        <w:t>《电子技术课程标准》被巴基斯坦 </w:t>
      </w:r>
      <w:r>
        <w:rPr>
          <w:sz w:val="24"/>
        </w:rPr>
        <w:t>Infinity</w:t>
      </w:r>
      <w:r>
        <w:rPr>
          <w:spacing w:val="-7"/>
          <w:sz w:val="24"/>
        </w:rPr>
        <w:t> 工程学院、泰国北部职业教育中心采用；</w:t>
      </w:r>
    </w:p>
    <w:p>
      <w:pPr>
        <w:pStyle w:val="ListParagraph"/>
        <w:numPr>
          <w:ilvl w:val="0"/>
          <w:numId w:val="11"/>
        </w:numPr>
        <w:tabs>
          <w:tab w:pos="2384" w:val="left" w:leader="none"/>
        </w:tabs>
        <w:spacing w:line="362" w:lineRule="auto" w:before="1" w:after="0"/>
        <w:ind w:left="1418" w:right="1416" w:firstLine="480"/>
        <w:jc w:val="left"/>
        <w:rPr>
          <w:sz w:val="24"/>
        </w:rPr>
      </w:pPr>
      <w:r>
        <w:rPr>
          <w:spacing w:val="-2"/>
          <w:sz w:val="24"/>
        </w:rPr>
        <w:t>《液压与气压传动技术课程标准》被巴基斯坦 </w:t>
      </w:r>
      <w:r>
        <w:rPr>
          <w:sz w:val="24"/>
        </w:rPr>
        <w:t>Infinity</w:t>
      </w:r>
      <w:r>
        <w:rPr>
          <w:spacing w:val="-6"/>
          <w:sz w:val="24"/>
        </w:rPr>
        <w:t> 工程学院、泰国北部职业教育中心采用；</w:t>
      </w:r>
    </w:p>
    <w:p>
      <w:pPr>
        <w:pStyle w:val="ListParagraph"/>
        <w:numPr>
          <w:ilvl w:val="0"/>
          <w:numId w:val="11"/>
        </w:numPr>
        <w:tabs>
          <w:tab w:pos="2380" w:val="left" w:leader="none"/>
        </w:tabs>
        <w:spacing w:line="362" w:lineRule="auto" w:before="5" w:after="0"/>
        <w:ind w:left="1418" w:right="1417" w:firstLine="480"/>
        <w:jc w:val="left"/>
        <w:rPr>
          <w:sz w:val="24"/>
        </w:rPr>
      </w:pPr>
      <w:r>
        <w:rPr>
          <w:sz w:val="24"/>
        </w:rPr>
        <w:t>《PLC</w:t>
      </w:r>
      <w:r>
        <w:rPr>
          <w:spacing w:val="-14"/>
          <w:sz w:val="24"/>
        </w:rPr>
        <w:t> 应用技术课程标准》被巴基斯坦 </w:t>
      </w:r>
      <w:r>
        <w:rPr>
          <w:sz w:val="24"/>
        </w:rPr>
        <w:t>Infinity</w:t>
      </w:r>
      <w:r>
        <w:rPr>
          <w:spacing w:val="-10"/>
          <w:sz w:val="24"/>
        </w:rPr>
        <w:t> 工程学院、泰国北部职业教</w:t>
      </w:r>
      <w:r>
        <w:rPr>
          <w:spacing w:val="-4"/>
          <w:sz w:val="24"/>
        </w:rPr>
        <w:t>育中心采用；</w:t>
      </w:r>
    </w:p>
    <w:p>
      <w:pPr>
        <w:pStyle w:val="ListParagraph"/>
        <w:numPr>
          <w:ilvl w:val="0"/>
          <w:numId w:val="11"/>
        </w:numPr>
        <w:tabs>
          <w:tab w:pos="2384" w:val="left" w:leader="none"/>
        </w:tabs>
        <w:spacing w:line="362" w:lineRule="auto" w:before="5" w:after="0"/>
        <w:ind w:left="1418" w:right="1416" w:firstLine="480"/>
        <w:jc w:val="left"/>
        <w:rPr>
          <w:sz w:val="24"/>
        </w:rPr>
      </w:pPr>
      <w:r>
        <w:rPr>
          <w:spacing w:val="-3"/>
          <w:sz w:val="24"/>
        </w:rPr>
        <w:t>《电气控制技术课程标准》被巴基斯坦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2" w:lineRule="auto" w:before="5" w:after="0"/>
        <w:ind w:left="1418" w:right="1416" w:firstLine="480"/>
        <w:jc w:val="left"/>
        <w:rPr>
          <w:sz w:val="24"/>
        </w:rPr>
      </w:pPr>
      <w:r>
        <w:rPr>
          <w:spacing w:val="-2"/>
          <w:sz w:val="24"/>
        </w:rPr>
        <w:t>《工业机器人操作与编程课程标准》被巴基斯坦 </w:t>
      </w:r>
      <w:r>
        <w:rPr>
          <w:sz w:val="24"/>
        </w:rPr>
        <w:t>Infinity</w:t>
      </w:r>
      <w:r>
        <w:rPr>
          <w:spacing w:val="-6"/>
          <w:sz w:val="24"/>
        </w:rPr>
        <w:t> 工程学院、泰国北部职业教育中心采用；</w:t>
      </w:r>
    </w:p>
    <w:p>
      <w:pPr>
        <w:pStyle w:val="ListParagraph"/>
        <w:numPr>
          <w:ilvl w:val="0"/>
          <w:numId w:val="11"/>
        </w:numPr>
        <w:tabs>
          <w:tab w:pos="2380" w:val="left" w:leader="none"/>
        </w:tabs>
        <w:spacing w:line="362" w:lineRule="auto" w:before="5" w:after="0"/>
        <w:ind w:left="1418" w:right="1297" w:firstLine="480"/>
        <w:jc w:val="left"/>
        <w:rPr>
          <w:sz w:val="24"/>
        </w:rPr>
      </w:pPr>
      <w:r>
        <w:rPr>
          <w:spacing w:val="-4"/>
          <w:sz w:val="24"/>
        </w:rPr>
        <w:t>《工业过程自动化专业技能培训与考核标准》被巴基斯坦 </w:t>
      </w:r>
      <w:r>
        <w:rPr>
          <w:sz w:val="24"/>
        </w:rPr>
        <w:t>Infinity</w:t>
      </w:r>
      <w:r>
        <w:rPr>
          <w:spacing w:val="-12"/>
          <w:sz w:val="24"/>
        </w:rPr>
        <w:t> 工程学院</w:t>
      </w:r>
      <w:r>
        <w:rPr>
          <w:spacing w:val="-5"/>
          <w:sz w:val="24"/>
        </w:rPr>
        <w:t>、泰国北部职业教育中心采用；</w:t>
      </w:r>
    </w:p>
    <w:p>
      <w:pPr>
        <w:pStyle w:val="ListParagraph"/>
        <w:numPr>
          <w:ilvl w:val="0"/>
          <w:numId w:val="11"/>
        </w:numPr>
        <w:tabs>
          <w:tab w:pos="2384" w:val="left" w:leader="none"/>
        </w:tabs>
        <w:spacing w:line="364" w:lineRule="auto" w:before="5" w:after="0"/>
        <w:ind w:left="1418" w:right="1416" w:firstLine="480"/>
        <w:jc w:val="left"/>
        <w:rPr>
          <w:sz w:val="24"/>
        </w:rPr>
      </w:pPr>
      <w:r>
        <w:rPr>
          <w:spacing w:val="-2"/>
          <w:sz w:val="24"/>
        </w:rPr>
        <w:t>《现场仪表运行与维护课程标准》被巴基斯坦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4" w:lineRule="auto" w:before="0" w:after="0"/>
        <w:ind w:left="1418" w:right="1418" w:firstLine="480"/>
        <w:jc w:val="left"/>
        <w:rPr>
          <w:sz w:val="24"/>
        </w:rPr>
      </w:pPr>
      <w:r>
        <w:rPr>
          <w:spacing w:val="-2"/>
          <w:sz w:val="24"/>
        </w:rPr>
        <w:t>《控制系统应用技术课程标准》被巴基斯坦 </w:t>
      </w:r>
      <w:r>
        <w:rPr>
          <w:sz w:val="24"/>
        </w:rPr>
        <w:t>Infinity</w:t>
      </w:r>
      <w:r>
        <w:rPr>
          <w:spacing w:val="-6"/>
          <w:sz w:val="24"/>
        </w:rPr>
        <w:t> 工程学院、泰国北部职业教育中心采用；</w:t>
      </w:r>
    </w:p>
    <w:p>
      <w:pPr>
        <w:pStyle w:val="ListParagraph"/>
        <w:numPr>
          <w:ilvl w:val="0"/>
          <w:numId w:val="11"/>
        </w:numPr>
        <w:tabs>
          <w:tab w:pos="2380" w:val="left" w:leader="none"/>
        </w:tabs>
        <w:spacing w:line="362" w:lineRule="auto" w:before="0" w:after="0"/>
        <w:ind w:left="1418" w:right="1417" w:firstLine="480"/>
        <w:jc w:val="left"/>
        <w:rPr>
          <w:sz w:val="24"/>
        </w:rPr>
      </w:pPr>
      <w:r>
        <w:rPr>
          <w:sz w:val="24"/>
        </w:rPr>
        <w:t>《DCS</w:t>
      </w:r>
      <w:r>
        <w:rPr>
          <w:spacing w:val="-13"/>
          <w:sz w:val="24"/>
        </w:rPr>
        <w:t> 组态与运行课程标准》被巴基斯坦 </w:t>
      </w:r>
      <w:r>
        <w:rPr>
          <w:sz w:val="24"/>
        </w:rPr>
        <w:t>Infinity</w:t>
      </w:r>
      <w:r>
        <w:rPr>
          <w:spacing w:val="-10"/>
          <w:sz w:val="24"/>
        </w:rPr>
        <w:t> 工程学院、泰国北部职业</w:t>
      </w:r>
      <w:r>
        <w:rPr>
          <w:spacing w:val="-4"/>
          <w:sz w:val="24"/>
        </w:rPr>
        <w:t>教育中心采用；</w:t>
      </w:r>
    </w:p>
    <w:p>
      <w:pPr>
        <w:pStyle w:val="ListParagraph"/>
        <w:numPr>
          <w:ilvl w:val="0"/>
          <w:numId w:val="11"/>
        </w:numPr>
        <w:tabs>
          <w:tab w:pos="2384" w:val="left" w:leader="none"/>
        </w:tabs>
        <w:spacing w:line="364" w:lineRule="auto" w:before="2" w:after="0"/>
        <w:ind w:left="1418" w:right="1416" w:firstLine="480"/>
        <w:jc w:val="left"/>
        <w:rPr>
          <w:sz w:val="24"/>
        </w:rPr>
      </w:pPr>
      <w:r>
        <w:rPr>
          <w:spacing w:val="-3"/>
          <w:sz w:val="24"/>
        </w:rPr>
        <w:t>《工厂供电技术课程标准》被巴基斯坦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4" w:lineRule="auto" w:before="0" w:after="0"/>
        <w:ind w:left="1418" w:right="1416" w:firstLine="480"/>
        <w:jc w:val="left"/>
        <w:rPr>
          <w:sz w:val="24"/>
        </w:rPr>
      </w:pPr>
      <w:r>
        <w:rPr>
          <w:spacing w:val="-2"/>
          <w:sz w:val="24"/>
        </w:rPr>
        <w:t>《交流伺服与变频调速技术应用课程标准》被巴基斯坦 </w:t>
      </w:r>
      <w:r>
        <w:rPr>
          <w:sz w:val="24"/>
        </w:rPr>
        <w:t>Infinity</w:t>
      </w:r>
      <w:r>
        <w:rPr>
          <w:spacing w:val="-7"/>
          <w:sz w:val="24"/>
        </w:rPr>
        <w:t> 工程学院、泰国北部职业教育中心采用；</w:t>
      </w:r>
    </w:p>
    <w:p>
      <w:pPr>
        <w:pStyle w:val="ListParagraph"/>
        <w:numPr>
          <w:ilvl w:val="0"/>
          <w:numId w:val="11"/>
        </w:numPr>
        <w:tabs>
          <w:tab w:pos="2384" w:val="left" w:leader="none"/>
        </w:tabs>
        <w:spacing w:line="364" w:lineRule="auto" w:before="0" w:after="0"/>
        <w:ind w:left="1418" w:right="1418" w:firstLine="480"/>
        <w:jc w:val="left"/>
        <w:rPr>
          <w:sz w:val="24"/>
        </w:rPr>
      </w:pPr>
      <w:r>
        <w:rPr>
          <w:spacing w:val="-2"/>
          <w:sz w:val="24"/>
        </w:rPr>
        <w:t>《食品营养与卫生学课程标》准被巴基斯坦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4" w:lineRule="auto" w:before="0" w:after="0"/>
        <w:ind w:left="1418" w:right="1416" w:firstLine="480"/>
        <w:jc w:val="left"/>
        <w:rPr>
          <w:sz w:val="24"/>
        </w:rPr>
      </w:pPr>
      <w:r>
        <w:rPr>
          <w:spacing w:val="-2"/>
          <w:sz w:val="24"/>
        </w:rPr>
        <w:t>《药物制剂技术与设备课程标准》被巴基斯坦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4" w:lineRule="auto" w:before="0" w:after="0"/>
        <w:ind w:left="1418" w:right="1418" w:firstLine="480"/>
        <w:jc w:val="left"/>
        <w:rPr>
          <w:sz w:val="24"/>
        </w:rPr>
      </w:pPr>
      <w:r>
        <w:rPr>
          <w:spacing w:val="-3"/>
          <w:sz w:val="24"/>
        </w:rPr>
        <w:t>《药物化学课程标准》被巴基斯坦 </w:t>
      </w:r>
      <w:r>
        <w:rPr>
          <w:sz w:val="24"/>
        </w:rPr>
        <w:t>Infinity</w:t>
      </w:r>
      <w:r>
        <w:rPr>
          <w:spacing w:val="-7"/>
          <w:sz w:val="24"/>
        </w:rPr>
        <w:t> 工程学院、泰国北部职业教育中心采用；</w:t>
      </w:r>
    </w:p>
    <w:p>
      <w:pPr>
        <w:pStyle w:val="ListParagraph"/>
        <w:numPr>
          <w:ilvl w:val="0"/>
          <w:numId w:val="11"/>
        </w:numPr>
        <w:tabs>
          <w:tab w:pos="2384" w:val="left" w:leader="none"/>
        </w:tabs>
        <w:spacing w:line="306" w:lineRule="exact" w:before="0" w:after="0"/>
        <w:ind w:left="2383" w:right="0" w:hanging="486"/>
        <w:jc w:val="left"/>
        <w:rPr>
          <w:sz w:val="24"/>
        </w:rPr>
      </w:pPr>
      <w:r>
        <w:rPr>
          <w:spacing w:val="-4"/>
          <w:sz w:val="24"/>
        </w:rPr>
        <w:t>《药剂学课程标准》被巴基斯坦 </w:t>
      </w:r>
      <w:r>
        <w:rPr>
          <w:sz w:val="24"/>
        </w:rPr>
        <w:t>Infinity</w:t>
      </w:r>
      <w:r>
        <w:rPr>
          <w:spacing w:val="-8"/>
          <w:sz w:val="24"/>
        </w:rPr>
        <w:t> 工程学院、泰国北部职业教育中心</w:t>
      </w:r>
    </w:p>
    <w:p>
      <w:pPr>
        <w:spacing w:after="0" w:line="306" w:lineRule="exact"/>
        <w:jc w:val="left"/>
        <w:rPr>
          <w:sz w:val="24"/>
        </w:rPr>
        <w:sectPr>
          <w:pgSz w:w="11910" w:h="16840"/>
          <w:pgMar w:header="780" w:footer="1241" w:top="1260" w:bottom="1440" w:left="0" w:right="0"/>
        </w:sectPr>
      </w:pPr>
    </w:p>
    <w:p>
      <w:pPr>
        <w:pStyle w:val="BodyText"/>
        <w:spacing w:before="141"/>
        <w:ind w:left="1418"/>
      </w:pPr>
      <w:r>
        <w:rPr/>
        <w:t>采用；</w:t>
      </w:r>
    </w:p>
    <w:p>
      <w:pPr>
        <w:pStyle w:val="ListParagraph"/>
        <w:numPr>
          <w:ilvl w:val="0"/>
          <w:numId w:val="11"/>
        </w:numPr>
        <w:tabs>
          <w:tab w:pos="2384" w:val="left" w:leader="none"/>
        </w:tabs>
        <w:spacing w:line="364" w:lineRule="auto" w:before="158" w:after="0"/>
        <w:ind w:left="1418" w:right="1418" w:firstLine="480"/>
        <w:jc w:val="left"/>
        <w:rPr>
          <w:sz w:val="24"/>
        </w:rPr>
      </w:pPr>
      <w:r>
        <w:rPr>
          <w:spacing w:val="-2"/>
          <w:sz w:val="24"/>
        </w:rPr>
        <w:t>《药品经营企业管理课程标准》被巴基斯坦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2" w:lineRule="auto" w:before="1" w:after="0"/>
        <w:ind w:left="1418" w:right="1418" w:firstLine="480"/>
        <w:jc w:val="left"/>
        <w:rPr>
          <w:sz w:val="24"/>
        </w:rPr>
      </w:pPr>
      <w:r>
        <w:rPr>
          <w:spacing w:val="-2"/>
          <w:sz w:val="24"/>
        </w:rPr>
        <w:t>《药品储存与养护课程标准》被巴基斯坦 </w:t>
      </w:r>
      <w:r>
        <w:rPr>
          <w:sz w:val="24"/>
        </w:rPr>
        <w:t>Infinity</w:t>
      </w:r>
      <w:r>
        <w:rPr>
          <w:spacing w:val="-7"/>
          <w:sz w:val="24"/>
        </w:rPr>
        <w:t> 工程学院、泰国北部职业教育中心采用；</w:t>
      </w:r>
    </w:p>
    <w:p>
      <w:pPr>
        <w:pStyle w:val="ListParagraph"/>
        <w:numPr>
          <w:ilvl w:val="0"/>
          <w:numId w:val="11"/>
        </w:numPr>
        <w:tabs>
          <w:tab w:pos="2384" w:val="left" w:leader="none"/>
        </w:tabs>
        <w:spacing w:line="362" w:lineRule="auto" w:before="5" w:after="0"/>
        <w:ind w:left="1418" w:right="1416" w:firstLine="480"/>
        <w:jc w:val="left"/>
        <w:rPr>
          <w:sz w:val="24"/>
        </w:rPr>
      </w:pPr>
      <w:r>
        <w:rPr>
          <w:spacing w:val="-3"/>
          <w:sz w:val="24"/>
        </w:rPr>
        <w:t>《仪器分析技术课程标准》被巴基斯坦 </w:t>
      </w:r>
      <w:r>
        <w:rPr>
          <w:sz w:val="24"/>
        </w:rPr>
        <w:t>Infinity</w:t>
      </w:r>
      <w:r>
        <w:rPr>
          <w:spacing w:val="-6"/>
          <w:sz w:val="24"/>
        </w:rPr>
        <w:t> 工程学院、泰国北部职业教育中心采用；</w:t>
      </w:r>
    </w:p>
    <w:p>
      <w:pPr>
        <w:pStyle w:val="ListParagraph"/>
        <w:numPr>
          <w:ilvl w:val="0"/>
          <w:numId w:val="11"/>
        </w:numPr>
        <w:tabs>
          <w:tab w:pos="2384" w:val="left" w:leader="none"/>
        </w:tabs>
        <w:spacing w:line="362" w:lineRule="auto" w:before="5" w:after="0"/>
        <w:ind w:left="1418" w:right="1418" w:firstLine="480"/>
        <w:jc w:val="left"/>
        <w:rPr>
          <w:sz w:val="24"/>
        </w:rPr>
      </w:pPr>
      <w:r>
        <w:rPr>
          <w:spacing w:val="-3"/>
          <w:sz w:val="24"/>
        </w:rPr>
        <w:t>《药物分析课程标准》被巴基斯坦 </w:t>
      </w:r>
      <w:r>
        <w:rPr>
          <w:sz w:val="24"/>
        </w:rPr>
        <w:t>Infinity</w:t>
      </w:r>
      <w:r>
        <w:rPr>
          <w:spacing w:val="-7"/>
          <w:sz w:val="24"/>
        </w:rPr>
        <w:t> 工程学院、泰国北部职业教育中心采用；</w:t>
      </w:r>
    </w:p>
    <w:p>
      <w:pPr>
        <w:pStyle w:val="ListParagraph"/>
        <w:numPr>
          <w:ilvl w:val="0"/>
          <w:numId w:val="11"/>
        </w:numPr>
        <w:tabs>
          <w:tab w:pos="2384" w:val="left" w:leader="none"/>
        </w:tabs>
        <w:spacing w:line="362" w:lineRule="auto" w:before="5" w:after="0"/>
        <w:ind w:left="1418" w:right="1418" w:firstLine="480"/>
        <w:jc w:val="left"/>
        <w:rPr>
          <w:sz w:val="24"/>
        </w:rPr>
      </w:pPr>
      <w:r>
        <w:rPr>
          <w:spacing w:val="-3"/>
          <w:sz w:val="24"/>
        </w:rPr>
        <w:t>《食品分析课程标准》被巴基斯坦 </w:t>
      </w:r>
      <w:r>
        <w:rPr>
          <w:sz w:val="24"/>
        </w:rPr>
        <w:t>Infinity</w:t>
      </w:r>
      <w:r>
        <w:rPr>
          <w:spacing w:val="-7"/>
          <w:sz w:val="24"/>
        </w:rPr>
        <w:t> 工程学院、泰国北部职业教育中心采用；</w:t>
      </w:r>
    </w:p>
    <w:p>
      <w:pPr>
        <w:pStyle w:val="ListParagraph"/>
        <w:numPr>
          <w:ilvl w:val="0"/>
          <w:numId w:val="11"/>
        </w:numPr>
        <w:tabs>
          <w:tab w:pos="2384" w:val="left" w:leader="none"/>
        </w:tabs>
        <w:spacing w:line="362" w:lineRule="auto" w:before="5" w:after="0"/>
        <w:ind w:left="1418" w:right="1416" w:firstLine="480"/>
        <w:jc w:val="left"/>
        <w:rPr>
          <w:sz w:val="24"/>
        </w:rPr>
      </w:pPr>
      <w:r>
        <w:rPr>
          <w:spacing w:val="-2"/>
          <w:sz w:val="24"/>
        </w:rPr>
        <w:t>《食品添加剂应用技术课程标准》被巴基斯坦 </w:t>
      </w:r>
      <w:r>
        <w:rPr>
          <w:sz w:val="24"/>
        </w:rPr>
        <w:t>Infinity</w:t>
      </w:r>
      <w:r>
        <w:rPr>
          <w:spacing w:val="-6"/>
          <w:sz w:val="24"/>
        </w:rPr>
        <w:t> 工程学院、泰国北部职业教育中心采用；</w:t>
      </w:r>
    </w:p>
    <w:p>
      <w:pPr>
        <w:pStyle w:val="ListParagraph"/>
        <w:numPr>
          <w:ilvl w:val="0"/>
          <w:numId w:val="11"/>
        </w:numPr>
        <w:tabs>
          <w:tab w:pos="2380" w:val="left" w:leader="none"/>
        </w:tabs>
        <w:spacing w:line="364" w:lineRule="auto" w:before="5" w:after="0"/>
        <w:ind w:left="1418" w:right="1417" w:firstLine="480"/>
        <w:jc w:val="left"/>
        <w:rPr>
          <w:sz w:val="24"/>
        </w:rPr>
      </w:pPr>
      <w:r>
        <w:rPr>
          <w:spacing w:val="-6"/>
          <w:sz w:val="24"/>
        </w:rPr>
        <w:t>《药物分析技术课程标准》被巴基斯坦 </w:t>
      </w:r>
      <w:r>
        <w:rPr>
          <w:sz w:val="24"/>
        </w:rPr>
        <w:t>Infinity</w:t>
      </w:r>
      <w:r>
        <w:rPr>
          <w:spacing w:val="-9"/>
          <w:sz w:val="24"/>
        </w:rPr>
        <w:t> 工程学院、泰国北部职业教</w:t>
      </w:r>
      <w:r>
        <w:rPr>
          <w:spacing w:val="-5"/>
          <w:sz w:val="24"/>
        </w:rPr>
        <w:t>育中心采用；</w:t>
      </w:r>
    </w:p>
    <w:p>
      <w:pPr>
        <w:pStyle w:val="ListParagraph"/>
        <w:numPr>
          <w:ilvl w:val="0"/>
          <w:numId w:val="11"/>
        </w:numPr>
        <w:tabs>
          <w:tab w:pos="2380" w:val="left" w:leader="none"/>
        </w:tabs>
        <w:spacing w:line="364" w:lineRule="auto" w:before="0" w:after="0"/>
        <w:ind w:left="1418" w:right="1417" w:firstLine="480"/>
        <w:jc w:val="left"/>
        <w:rPr>
          <w:sz w:val="24"/>
        </w:rPr>
      </w:pPr>
      <w:r>
        <w:rPr>
          <w:spacing w:val="-6"/>
          <w:sz w:val="24"/>
        </w:rPr>
        <w:t>《生物化学课程标准》被巴基斯坦 </w:t>
      </w:r>
      <w:r>
        <w:rPr>
          <w:sz w:val="24"/>
        </w:rPr>
        <w:t>Infinity</w:t>
      </w:r>
      <w:r>
        <w:rPr>
          <w:spacing w:val="-9"/>
          <w:sz w:val="24"/>
        </w:rPr>
        <w:t> 工程学院、泰国北部职业教育中</w:t>
      </w:r>
      <w:r>
        <w:rPr>
          <w:spacing w:val="-6"/>
          <w:sz w:val="24"/>
        </w:rPr>
        <w:t>心采用；</w:t>
      </w:r>
    </w:p>
    <w:p>
      <w:pPr>
        <w:pStyle w:val="ListParagraph"/>
        <w:numPr>
          <w:ilvl w:val="0"/>
          <w:numId w:val="11"/>
        </w:numPr>
        <w:tabs>
          <w:tab w:pos="2380" w:val="left" w:leader="none"/>
        </w:tabs>
        <w:spacing w:line="362" w:lineRule="auto" w:before="0" w:after="0"/>
        <w:ind w:left="1418" w:right="1417" w:firstLine="480"/>
        <w:jc w:val="left"/>
        <w:rPr>
          <w:sz w:val="24"/>
        </w:rPr>
      </w:pPr>
      <w:r>
        <w:rPr>
          <w:spacing w:val="-6"/>
          <w:sz w:val="24"/>
        </w:rPr>
        <w:t>《检测技术及应用课程标准》被巴基斯坦 </w:t>
      </w:r>
      <w:r>
        <w:rPr>
          <w:sz w:val="24"/>
        </w:rPr>
        <w:t>Infinity</w:t>
      </w:r>
      <w:r>
        <w:rPr>
          <w:spacing w:val="-9"/>
          <w:sz w:val="24"/>
        </w:rPr>
        <w:t> 工程学院、泰国北部职业</w:t>
      </w:r>
      <w:r>
        <w:rPr>
          <w:spacing w:val="-5"/>
          <w:sz w:val="24"/>
        </w:rPr>
        <w:t>教育中心采用；</w:t>
      </w:r>
    </w:p>
    <w:p>
      <w:pPr>
        <w:pStyle w:val="ListParagraph"/>
        <w:numPr>
          <w:ilvl w:val="0"/>
          <w:numId w:val="11"/>
        </w:numPr>
        <w:tabs>
          <w:tab w:pos="2380" w:val="left" w:leader="none"/>
        </w:tabs>
        <w:spacing w:line="364" w:lineRule="auto" w:before="2" w:after="0"/>
        <w:ind w:left="1418" w:right="1417" w:firstLine="480"/>
        <w:jc w:val="left"/>
        <w:rPr>
          <w:sz w:val="24"/>
        </w:rPr>
      </w:pPr>
      <w:r>
        <w:rPr>
          <w:spacing w:val="-6"/>
          <w:sz w:val="24"/>
        </w:rPr>
        <w:t>《电气控制技术课程标准》被巴基斯坦 </w:t>
      </w:r>
      <w:r>
        <w:rPr>
          <w:sz w:val="24"/>
        </w:rPr>
        <w:t>Infinity</w:t>
      </w:r>
      <w:r>
        <w:rPr>
          <w:spacing w:val="-9"/>
          <w:sz w:val="24"/>
        </w:rPr>
        <w:t> 工程学院、泰国北部职业教</w:t>
      </w:r>
      <w:r>
        <w:rPr>
          <w:spacing w:val="-5"/>
          <w:sz w:val="24"/>
        </w:rPr>
        <w:t>育中心采用；</w:t>
      </w:r>
    </w:p>
    <w:p>
      <w:pPr>
        <w:pStyle w:val="ListParagraph"/>
        <w:numPr>
          <w:ilvl w:val="0"/>
          <w:numId w:val="11"/>
        </w:numPr>
        <w:tabs>
          <w:tab w:pos="2380" w:val="left" w:leader="none"/>
        </w:tabs>
        <w:spacing w:line="364" w:lineRule="auto" w:before="0" w:after="0"/>
        <w:ind w:left="1418" w:right="1417" w:firstLine="480"/>
        <w:jc w:val="left"/>
        <w:rPr>
          <w:sz w:val="24"/>
        </w:rPr>
      </w:pPr>
      <w:r>
        <w:rPr>
          <w:spacing w:val="-5"/>
          <w:sz w:val="24"/>
        </w:rPr>
        <w:t>《工控组态软件应用技术课程标准》被巴基斯坦 </w:t>
      </w:r>
      <w:r>
        <w:rPr>
          <w:sz w:val="24"/>
        </w:rPr>
        <w:t>Infinity</w:t>
      </w:r>
      <w:r>
        <w:rPr>
          <w:spacing w:val="-10"/>
          <w:sz w:val="24"/>
        </w:rPr>
        <w:t> 工程学院、泰国北</w:t>
      </w:r>
      <w:r>
        <w:rPr>
          <w:spacing w:val="-5"/>
          <w:sz w:val="24"/>
        </w:rPr>
        <w:t>部职业教育中心采用；</w:t>
      </w:r>
    </w:p>
    <w:p>
      <w:pPr>
        <w:pStyle w:val="ListParagraph"/>
        <w:numPr>
          <w:ilvl w:val="0"/>
          <w:numId w:val="11"/>
        </w:numPr>
        <w:tabs>
          <w:tab w:pos="2380" w:val="left" w:leader="none"/>
        </w:tabs>
        <w:spacing w:line="364" w:lineRule="auto" w:before="0" w:after="0"/>
        <w:ind w:left="1418" w:right="1297" w:firstLine="480"/>
        <w:jc w:val="left"/>
        <w:rPr>
          <w:sz w:val="24"/>
        </w:rPr>
      </w:pPr>
      <w:r>
        <w:rPr>
          <w:spacing w:val="-11"/>
          <w:sz w:val="24"/>
        </w:rPr>
        <w:t>《液压与气压传动技术课程标准》被埃塞俄比亚、巴基斯坦 </w:t>
      </w:r>
      <w:r>
        <w:rPr>
          <w:sz w:val="24"/>
        </w:rPr>
        <w:t>Infinity</w:t>
      </w:r>
      <w:r>
        <w:rPr>
          <w:spacing w:val="-12"/>
          <w:sz w:val="24"/>
        </w:rPr>
        <w:t> 工程学院</w:t>
      </w:r>
      <w:r>
        <w:rPr>
          <w:spacing w:val="-4"/>
          <w:sz w:val="24"/>
        </w:rPr>
        <w:t>、泰国北部职业教育中心采用；</w:t>
      </w:r>
    </w:p>
    <w:p>
      <w:pPr>
        <w:pStyle w:val="ListParagraph"/>
        <w:numPr>
          <w:ilvl w:val="0"/>
          <w:numId w:val="11"/>
        </w:numPr>
        <w:tabs>
          <w:tab w:pos="2380" w:val="left" w:leader="none"/>
        </w:tabs>
        <w:spacing w:line="364" w:lineRule="auto" w:before="0" w:after="0"/>
        <w:ind w:left="1418" w:right="1417" w:firstLine="480"/>
        <w:jc w:val="left"/>
        <w:rPr>
          <w:sz w:val="24"/>
        </w:rPr>
      </w:pPr>
      <w:r>
        <w:rPr>
          <w:spacing w:val="-4"/>
          <w:sz w:val="24"/>
        </w:rPr>
        <w:t>《机电设备故障诊断与维修课程标准》被埃塞俄比亚、巴基斯坦 </w:t>
      </w:r>
      <w:r>
        <w:rPr>
          <w:sz w:val="24"/>
        </w:rPr>
        <w:t>Infinity</w:t>
      </w:r>
      <w:r>
        <w:rPr>
          <w:spacing w:val="-30"/>
          <w:sz w:val="24"/>
        </w:rPr>
        <w:t> 工</w:t>
      </w:r>
      <w:r>
        <w:rPr>
          <w:spacing w:val="-5"/>
          <w:sz w:val="24"/>
        </w:rPr>
        <w:t>程学院、泰国北部职业教育中心采用；</w:t>
      </w:r>
    </w:p>
    <w:p>
      <w:pPr>
        <w:pStyle w:val="ListParagraph"/>
        <w:numPr>
          <w:ilvl w:val="0"/>
          <w:numId w:val="11"/>
        </w:numPr>
        <w:tabs>
          <w:tab w:pos="2380" w:val="left" w:leader="none"/>
        </w:tabs>
        <w:spacing w:line="364" w:lineRule="auto" w:before="0" w:after="0"/>
        <w:ind w:left="1418" w:right="1417" w:firstLine="480"/>
        <w:jc w:val="left"/>
        <w:rPr>
          <w:sz w:val="24"/>
        </w:rPr>
      </w:pPr>
      <w:r>
        <w:rPr>
          <w:spacing w:val="-4"/>
          <w:sz w:val="24"/>
        </w:rPr>
        <w:t>《自动化生产线装配与调试课程标准》被巴基斯坦 </w:t>
      </w:r>
      <w:r>
        <w:rPr>
          <w:sz w:val="24"/>
        </w:rPr>
        <w:t>Infinity</w:t>
      </w:r>
      <w:r>
        <w:rPr>
          <w:spacing w:val="-11"/>
          <w:sz w:val="24"/>
        </w:rPr>
        <w:t> 工程学院、泰国</w:t>
      </w:r>
      <w:r>
        <w:rPr>
          <w:spacing w:val="-5"/>
          <w:sz w:val="24"/>
        </w:rPr>
        <w:t>北部职业教育中心采用；</w:t>
      </w:r>
    </w:p>
    <w:p>
      <w:pPr>
        <w:pStyle w:val="ListParagraph"/>
        <w:numPr>
          <w:ilvl w:val="0"/>
          <w:numId w:val="11"/>
        </w:numPr>
        <w:tabs>
          <w:tab w:pos="2380" w:val="left" w:leader="none"/>
        </w:tabs>
        <w:spacing w:line="306" w:lineRule="exact" w:before="0" w:after="0"/>
        <w:ind w:left="2379" w:right="0" w:hanging="482"/>
        <w:jc w:val="left"/>
        <w:rPr>
          <w:sz w:val="24"/>
        </w:rPr>
      </w:pPr>
      <w:r>
        <w:rPr>
          <w:spacing w:val="-5"/>
          <w:sz w:val="24"/>
        </w:rPr>
        <w:t>《工业机器人应用技术课程标准》被巴基斯坦 </w:t>
      </w:r>
      <w:r>
        <w:rPr>
          <w:sz w:val="24"/>
        </w:rPr>
        <w:t>Infinity</w:t>
      </w:r>
      <w:r>
        <w:rPr>
          <w:spacing w:val="-9"/>
          <w:sz w:val="24"/>
        </w:rPr>
        <w:t> 工程学院、泰国北部职</w:t>
      </w:r>
    </w:p>
    <w:p>
      <w:pPr>
        <w:spacing w:after="0" w:line="306" w:lineRule="exact"/>
        <w:jc w:val="left"/>
        <w:rPr>
          <w:sz w:val="24"/>
        </w:rPr>
        <w:sectPr>
          <w:pgSz w:w="11910" w:h="16840"/>
          <w:pgMar w:header="780" w:footer="1241" w:top="1260" w:bottom="1440" w:left="0" w:right="0"/>
        </w:sectPr>
      </w:pPr>
    </w:p>
    <w:p>
      <w:pPr>
        <w:pStyle w:val="BodyText"/>
        <w:spacing w:before="141"/>
        <w:ind w:left="1418"/>
      </w:pPr>
      <w:r>
        <w:rPr/>
        <w:t>业教育中心采用；</w:t>
      </w:r>
    </w:p>
    <w:p>
      <w:pPr>
        <w:pStyle w:val="ListParagraph"/>
        <w:numPr>
          <w:ilvl w:val="0"/>
          <w:numId w:val="11"/>
        </w:numPr>
        <w:tabs>
          <w:tab w:pos="2380" w:val="left" w:leader="none"/>
        </w:tabs>
        <w:spacing w:line="364" w:lineRule="auto" w:before="158" w:after="0"/>
        <w:ind w:left="1418" w:right="1417" w:firstLine="480"/>
        <w:jc w:val="left"/>
        <w:rPr>
          <w:sz w:val="24"/>
        </w:rPr>
      </w:pPr>
      <w:r>
        <w:rPr>
          <w:spacing w:val="-5"/>
          <w:sz w:val="24"/>
        </w:rPr>
        <w:t>《工业机器人装调与维修课程标准》被巴基斯坦 </w:t>
      </w:r>
      <w:r>
        <w:rPr>
          <w:sz w:val="24"/>
        </w:rPr>
        <w:t>Infinity</w:t>
      </w:r>
      <w:r>
        <w:rPr>
          <w:spacing w:val="-10"/>
          <w:sz w:val="24"/>
        </w:rPr>
        <w:t> 工程学院、泰国北</w:t>
      </w:r>
      <w:r>
        <w:rPr>
          <w:spacing w:val="-5"/>
          <w:sz w:val="24"/>
        </w:rPr>
        <w:t>部职业教育中心采用；</w:t>
      </w:r>
    </w:p>
    <w:p>
      <w:pPr>
        <w:pStyle w:val="ListParagraph"/>
        <w:numPr>
          <w:ilvl w:val="0"/>
          <w:numId w:val="11"/>
        </w:numPr>
        <w:tabs>
          <w:tab w:pos="2380" w:val="left" w:leader="none"/>
        </w:tabs>
        <w:spacing w:line="362" w:lineRule="auto" w:before="1" w:after="0"/>
        <w:ind w:left="1418" w:right="1417" w:firstLine="480"/>
        <w:jc w:val="left"/>
        <w:rPr>
          <w:sz w:val="24"/>
        </w:rPr>
      </w:pPr>
      <w:r>
        <w:rPr>
          <w:spacing w:val="-3"/>
          <w:sz w:val="24"/>
        </w:rPr>
        <w:t>《</w:t>
      </w:r>
      <w:r>
        <w:rPr>
          <w:sz w:val="24"/>
        </w:rPr>
        <w:t>RFID</w:t>
      </w:r>
      <w:r>
        <w:rPr>
          <w:spacing w:val="-14"/>
          <w:sz w:val="24"/>
        </w:rPr>
        <w:t> 技术与应用课程标准》被巴基斯坦 </w:t>
      </w:r>
      <w:r>
        <w:rPr>
          <w:sz w:val="24"/>
        </w:rPr>
        <w:t>Infinity</w:t>
      </w:r>
      <w:r>
        <w:rPr>
          <w:spacing w:val="-10"/>
          <w:sz w:val="24"/>
        </w:rPr>
        <w:t> 工程学院、泰国北部职业</w:t>
      </w:r>
      <w:r>
        <w:rPr>
          <w:spacing w:val="-5"/>
          <w:sz w:val="24"/>
        </w:rPr>
        <w:t>教育中心采用；</w:t>
      </w:r>
    </w:p>
    <w:p>
      <w:pPr>
        <w:pStyle w:val="ListParagraph"/>
        <w:numPr>
          <w:ilvl w:val="0"/>
          <w:numId w:val="11"/>
        </w:numPr>
        <w:tabs>
          <w:tab w:pos="2380" w:val="left" w:leader="none"/>
        </w:tabs>
        <w:spacing w:line="362" w:lineRule="auto" w:before="5" w:after="0"/>
        <w:ind w:left="1418" w:right="1417" w:firstLine="480"/>
        <w:jc w:val="left"/>
        <w:rPr>
          <w:sz w:val="24"/>
        </w:rPr>
      </w:pPr>
      <w:r>
        <w:rPr>
          <w:spacing w:val="-4"/>
          <w:sz w:val="24"/>
        </w:rPr>
        <w:t>《无线传感器网络技术与应用课程标准》被巴基斯坦 </w:t>
      </w:r>
      <w:r>
        <w:rPr>
          <w:sz w:val="24"/>
        </w:rPr>
        <w:t>Infinity</w:t>
      </w:r>
      <w:r>
        <w:rPr>
          <w:spacing w:val="-12"/>
          <w:sz w:val="24"/>
        </w:rPr>
        <w:t> 工程学院、泰</w:t>
      </w:r>
      <w:r>
        <w:rPr>
          <w:spacing w:val="-5"/>
          <w:sz w:val="24"/>
        </w:rPr>
        <w:t>国北部职业教育中心采用；</w:t>
      </w:r>
    </w:p>
    <w:p>
      <w:pPr>
        <w:pStyle w:val="ListParagraph"/>
        <w:numPr>
          <w:ilvl w:val="0"/>
          <w:numId w:val="11"/>
        </w:numPr>
        <w:tabs>
          <w:tab w:pos="2380" w:val="left" w:leader="none"/>
        </w:tabs>
        <w:spacing w:line="362" w:lineRule="auto" w:before="5" w:after="0"/>
        <w:ind w:left="1418" w:right="1417" w:firstLine="480"/>
        <w:jc w:val="left"/>
        <w:rPr>
          <w:sz w:val="24"/>
        </w:rPr>
      </w:pPr>
      <w:r>
        <w:rPr>
          <w:spacing w:val="-5"/>
          <w:sz w:val="24"/>
        </w:rPr>
        <w:t>《物联网技术与应用课程标准》被巴基斯坦 </w:t>
      </w:r>
      <w:r>
        <w:rPr>
          <w:sz w:val="24"/>
        </w:rPr>
        <w:t>Infinity</w:t>
      </w:r>
      <w:r>
        <w:rPr>
          <w:spacing w:val="-9"/>
          <w:sz w:val="24"/>
        </w:rPr>
        <w:t> 工程学院、泰国北部职</w:t>
      </w:r>
      <w:r>
        <w:rPr>
          <w:spacing w:val="-5"/>
          <w:sz w:val="24"/>
        </w:rPr>
        <w:t>业教育中心采用；</w:t>
      </w:r>
    </w:p>
    <w:p>
      <w:pPr>
        <w:pStyle w:val="ListParagraph"/>
        <w:numPr>
          <w:ilvl w:val="0"/>
          <w:numId w:val="11"/>
        </w:numPr>
        <w:tabs>
          <w:tab w:pos="2380" w:val="left" w:leader="none"/>
        </w:tabs>
        <w:spacing w:line="362" w:lineRule="auto" w:before="5" w:after="0"/>
        <w:ind w:left="1418" w:right="1417" w:firstLine="480"/>
        <w:jc w:val="left"/>
        <w:rPr>
          <w:sz w:val="24"/>
        </w:rPr>
      </w:pPr>
      <w:r>
        <w:rPr>
          <w:spacing w:val="-8"/>
          <w:sz w:val="24"/>
        </w:rPr>
        <w:t>《机械制造工艺课程标准》被埃塞俄比亚、巴基斯坦 </w:t>
      </w:r>
      <w:r>
        <w:rPr>
          <w:sz w:val="24"/>
        </w:rPr>
        <w:t>Infinity</w:t>
      </w:r>
      <w:r>
        <w:rPr>
          <w:spacing w:val="-12"/>
          <w:sz w:val="24"/>
        </w:rPr>
        <w:t> 工程学院、泰</w:t>
      </w:r>
      <w:r>
        <w:rPr>
          <w:spacing w:val="-4"/>
          <w:sz w:val="24"/>
        </w:rPr>
        <w:t>国北部职业教育中心采用；</w:t>
      </w:r>
    </w:p>
    <w:p>
      <w:pPr>
        <w:pStyle w:val="ListParagraph"/>
        <w:numPr>
          <w:ilvl w:val="0"/>
          <w:numId w:val="11"/>
        </w:numPr>
        <w:tabs>
          <w:tab w:pos="2380" w:val="left" w:leader="none"/>
        </w:tabs>
        <w:spacing w:line="362" w:lineRule="auto" w:before="5" w:after="0"/>
        <w:ind w:left="1418" w:right="1413" w:firstLine="480"/>
        <w:jc w:val="left"/>
        <w:rPr>
          <w:sz w:val="24"/>
        </w:rPr>
      </w:pPr>
      <w:r>
        <w:rPr>
          <w:spacing w:val="-7"/>
          <w:sz w:val="24"/>
        </w:rPr>
        <w:t>《数控编程与加工课程标准》被埃塞俄比亚、巴基斯坦 </w:t>
      </w:r>
      <w:r>
        <w:rPr>
          <w:sz w:val="24"/>
        </w:rPr>
        <w:t>Infinity</w:t>
      </w:r>
      <w:r>
        <w:rPr>
          <w:spacing w:val="-13"/>
          <w:sz w:val="24"/>
        </w:rPr>
        <w:t> 工程学院、</w:t>
      </w:r>
      <w:r>
        <w:rPr>
          <w:spacing w:val="-4"/>
          <w:sz w:val="24"/>
        </w:rPr>
        <w:t>泰国北部职业教育中心采用；</w:t>
      </w:r>
    </w:p>
    <w:p>
      <w:pPr>
        <w:pStyle w:val="ListParagraph"/>
        <w:numPr>
          <w:ilvl w:val="0"/>
          <w:numId w:val="11"/>
        </w:numPr>
        <w:tabs>
          <w:tab w:pos="2380" w:val="left" w:leader="none"/>
        </w:tabs>
        <w:spacing w:line="364" w:lineRule="auto" w:before="5" w:after="0"/>
        <w:ind w:left="1418" w:right="1417" w:firstLine="480"/>
        <w:jc w:val="left"/>
        <w:rPr>
          <w:sz w:val="24"/>
        </w:rPr>
      </w:pPr>
      <w:r>
        <w:rPr>
          <w:spacing w:val="-8"/>
          <w:sz w:val="24"/>
        </w:rPr>
        <w:t>《电工技术课程标准》被埃塞俄比亚、巴基斯坦 </w:t>
      </w:r>
      <w:r>
        <w:rPr>
          <w:sz w:val="24"/>
        </w:rPr>
        <w:t>Infinity</w:t>
      </w:r>
      <w:r>
        <w:rPr>
          <w:spacing w:val="-10"/>
          <w:sz w:val="24"/>
        </w:rPr>
        <w:t> 工程学院、泰国北</w:t>
      </w:r>
      <w:r>
        <w:rPr>
          <w:spacing w:val="-4"/>
          <w:sz w:val="24"/>
        </w:rPr>
        <w:t>部职业教育中心采用。</w:t>
      </w:r>
    </w:p>
    <w:p>
      <w:pPr>
        <w:spacing w:after="0" w:line="364" w:lineRule="auto"/>
        <w:jc w:val="left"/>
        <w:rPr>
          <w:sz w:val="24"/>
        </w:rPr>
        <w:sectPr>
          <w:pgSz w:w="11910" w:h="16840"/>
          <w:pgMar w:header="780" w:footer="1241" w:top="1260" w:bottom="1440" w:left="0" w:right="0"/>
        </w:sectPr>
      </w:pPr>
    </w:p>
    <w:p>
      <w:pPr>
        <w:pStyle w:val="BodyText"/>
        <w:rPr>
          <w:sz w:val="20"/>
        </w:rPr>
      </w:pPr>
    </w:p>
    <w:p>
      <w:pPr>
        <w:pStyle w:val="BodyText"/>
        <w:spacing w:before="6"/>
        <w:rPr>
          <w:sz w:val="28"/>
        </w:rPr>
      </w:pPr>
    </w:p>
    <w:p>
      <w:pPr>
        <w:pStyle w:val="Heading2"/>
        <w:tabs>
          <w:tab w:pos="2800" w:val="left" w:leader="none"/>
        </w:tabs>
        <w:spacing w:before="67"/>
        <w:ind w:left="1898" w:firstLine="0"/>
      </w:pPr>
      <w:bookmarkStart w:name="附表5  服务贡献表" w:id="302"/>
      <w:bookmarkEnd w:id="302"/>
      <w:r>
        <w:rPr>
          <w:b w:val="0"/>
        </w:rPr>
      </w:r>
      <w:bookmarkStart w:name="_bookmark110" w:id="303"/>
      <w:bookmarkEnd w:id="303"/>
      <w:r>
        <w:rPr>
          <w:b w:val="0"/>
        </w:rPr>
      </w:r>
      <w:r>
        <w:rPr/>
        <w:t>附表</w:t>
      </w:r>
      <w:r>
        <w:rPr>
          <w:spacing w:val="-62"/>
        </w:rPr>
        <w:t> </w:t>
      </w:r>
      <w:r>
        <w:rPr/>
        <w:t>5</w:t>
        <w:tab/>
        <w:t>服务贡献表</w:t>
      </w:r>
    </w:p>
    <w:p>
      <w:pPr>
        <w:pStyle w:val="BodyText"/>
        <w:spacing w:before="11"/>
        <w:rPr>
          <w:rFonts w:ascii="黑体"/>
          <w:b/>
          <w:sz w:val="23"/>
        </w:rPr>
      </w:pPr>
    </w:p>
    <w:p>
      <w:pPr>
        <w:spacing w:before="62"/>
        <w:ind w:left="0" w:right="35" w:firstLine="0"/>
        <w:jc w:val="center"/>
        <w:rPr>
          <w:rFonts w:ascii="黑体" w:eastAsia="黑体" w:hint="eastAsia"/>
          <w:b/>
          <w:sz w:val="28"/>
        </w:rPr>
      </w:pPr>
      <w:r>
        <w:rPr>
          <w:rFonts w:ascii="黑体" w:eastAsia="黑体" w:hint="eastAsia"/>
          <w:b/>
          <w:sz w:val="28"/>
        </w:rPr>
        <w:t>服务贡献表</w:t>
      </w:r>
    </w:p>
    <w:p>
      <w:pPr>
        <w:pStyle w:val="BodyText"/>
        <w:spacing w:before="4"/>
        <w:rPr>
          <w:rFonts w:ascii="黑体"/>
          <w:b/>
          <w:sz w:val="10"/>
        </w:rPr>
      </w:pPr>
    </w:p>
    <w:tbl>
      <w:tblPr>
        <w:tblW w:w="0" w:type="auto"/>
        <w:jc w:val="left"/>
        <w:tblInd w:w="14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18"/>
        <w:gridCol w:w="902"/>
        <w:gridCol w:w="657"/>
        <w:gridCol w:w="2658"/>
        <w:gridCol w:w="852"/>
        <w:gridCol w:w="993"/>
        <w:gridCol w:w="995"/>
        <w:gridCol w:w="1276"/>
      </w:tblGrid>
      <w:tr>
        <w:trPr>
          <w:trHeight w:val="624" w:hRule="atLeast"/>
        </w:trPr>
        <w:tc>
          <w:tcPr>
            <w:tcW w:w="718" w:type="dxa"/>
            <w:tcBorders>
              <w:bottom w:val="single" w:sz="8" w:space="0" w:color="000000"/>
              <w:right w:val="single" w:sz="8" w:space="0" w:color="000000"/>
            </w:tcBorders>
          </w:tcPr>
          <w:p>
            <w:pPr>
              <w:pStyle w:val="TableParagraph"/>
              <w:spacing w:line="299" w:lineRule="exact"/>
              <w:ind w:left="108"/>
              <w:rPr>
                <w:rFonts w:ascii="Microsoft JhengHei" w:eastAsia="Microsoft JhengHei" w:hint="eastAsia"/>
                <w:b/>
                <w:sz w:val="24"/>
              </w:rPr>
            </w:pPr>
            <w:r>
              <w:rPr>
                <w:rFonts w:ascii="Microsoft JhengHei" w:eastAsia="Microsoft JhengHei" w:hint="eastAsia"/>
                <w:b/>
                <w:sz w:val="24"/>
              </w:rPr>
              <w:t>院校</w:t>
            </w:r>
          </w:p>
          <w:p>
            <w:pPr>
              <w:pStyle w:val="TableParagraph"/>
              <w:spacing w:line="305" w:lineRule="exact"/>
              <w:ind w:left="108"/>
              <w:rPr>
                <w:rFonts w:ascii="Microsoft JhengHei" w:eastAsia="Microsoft JhengHei" w:hint="eastAsia"/>
                <w:b/>
                <w:sz w:val="24"/>
              </w:rPr>
            </w:pPr>
            <w:r>
              <w:rPr>
                <w:rFonts w:ascii="Microsoft JhengHei" w:eastAsia="Microsoft JhengHei" w:hint="eastAsia"/>
                <w:b/>
                <w:sz w:val="24"/>
              </w:rPr>
              <w:t>代码</w:t>
            </w:r>
          </w:p>
        </w:tc>
        <w:tc>
          <w:tcPr>
            <w:tcW w:w="902" w:type="dxa"/>
            <w:tcBorders>
              <w:left w:val="single" w:sz="8" w:space="0" w:color="000000"/>
              <w:bottom w:val="single" w:sz="8" w:space="0" w:color="000000"/>
              <w:right w:val="single" w:sz="8" w:space="0" w:color="000000"/>
            </w:tcBorders>
          </w:tcPr>
          <w:p>
            <w:pPr>
              <w:pStyle w:val="TableParagraph"/>
              <w:spacing w:line="299" w:lineRule="exact"/>
              <w:ind w:left="113"/>
              <w:rPr>
                <w:rFonts w:ascii="Microsoft JhengHei" w:eastAsia="Microsoft JhengHei" w:hint="eastAsia"/>
                <w:b/>
                <w:sz w:val="24"/>
              </w:rPr>
            </w:pPr>
            <w:r>
              <w:rPr>
                <w:rFonts w:ascii="Microsoft JhengHei" w:eastAsia="Microsoft JhengHei" w:hint="eastAsia"/>
                <w:b/>
                <w:sz w:val="24"/>
              </w:rPr>
              <w:t>院校</w:t>
            </w:r>
          </w:p>
          <w:p>
            <w:pPr>
              <w:pStyle w:val="TableParagraph"/>
              <w:spacing w:line="305" w:lineRule="exact"/>
              <w:ind w:left="113"/>
              <w:rPr>
                <w:rFonts w:ascii="Microsoft JhengHei" w:eastAsia="Microsoft JhengHei" w:hint="eastAsia"/>
                <w:b/>
                <w:sz w:val="24"/>
              </w:rPr>
            </w:pPr>
            <w:r>
              <w:rPr>
                <w:rFonts w:ascii="Microsoft JhengHei" w:eastAsia="Microsoft JhengHei" w:hint="eastAsia"/>
                <w:b/>
                <w:sz w:val="24"/>
              </w:rPr>
              <w:t>名称</w:t>
            </w:r>
          </w:p>
        </w:tc>
        <w:tc>
          <w:tcPr>
            <w:tcW w:w="3315" w:type="dxa"/>
            <w:gridSpan w:val="2"/>
            <w:tcBorders>
              <w:left w:val="single" w:sz="8" w:space="0" w:color="000000"/>
              <w:bottom w:val="single" w:sz="8" w:space="0" w:color="000000"/>
              <w:right w:val="single" w:sz="8" w:space="0" w:color="000000"/>
            </w:tcBorders>
          </w:tcPr>
          <w:p>
            <w:pPr>
              <w:pStyle w:val="TableParagraph"/>
              <w:spacing w:before="78"/>
              <w:ind w:left="1401" w:right="1374"/>
              <w:jc w:val="center"/>
              <w:rPr>
                <w:rFonts w:ascii="Microsoft JhengHei" w:eastAsia="Microsoft JhengHei" w:hint="eastAsia"/>
                <w:b/>
                <w:sz w:val="24"/>
              </w:rPr>
            </w:pPr>
            <w:r>
              <w:rPr>
                <w:rFonts w:ascii="Microsoft JhengHei" w:eastAsia="Microsoft JhengHei" w:hint="eastAsia"/>
                <w:b/>
                <w:sz w:val="24"/>
              </w:rPr>
              <w:t>指标</w:t>
            </w:r>
          </w:p>
        </w:tc>
        <w:tc>
          <w:tcPr>
            <w:tcW w:w="852" w:type="dxa"/>
            <w:tcBorders>
              <w:left w:val="single" w:sz="8" w:space="0" w:color="000000"/>
              <w:bottom w:val="single" w:sz="8" w:space="0" w:color="000000"/>
              <w:right w:val="single" w:sz="8" w:space="0" w:color="000000"/>
            </w:tcBorders>
          </w:tcPr>
          <w:p>
            <w:pPr>
              <w:pStyle w:val="TableParagraph"/>
              <w:spacing w:before="78"/>
              <w:ind w:left="168" w:right="141"/>
              <w:jc w:val="center"/>
              <w:rPr>
                <w:rFonts w:ascii="Microsoft JhengHei" w:eastAsia="Microsoft JhengHei" w:hint="eastAsia"/>
                <w:b/>
                <w:sz w:val="24"/>
              </w:rPr>
            </w:pPr>
            <w:r>
              <w:rPr>
                <w:rFonts w:ascii="Microsoft JhengHei" w:eastAsia="Microsoft JhengHei" w:hint="eastAsia"/>
                <w:b/>
                <w:sz w:val="24"/>
              </w:rPr>
              <w:t>单位</w:t>
            </w:r>
          </w:p>
        </w:tc>
        <w:tc>
          <w:tcPr>
            <w:tcW w:w="993" w:type="dxa"/>
            <w:tcBorders>
              <w:left w:val="single" w:sz="8" w:space="0" w:color="000000"/>
              <w:bottom w:val="single" w:sz="8" w:space="0" w:color="000000"/>
              <w:right w:val="single" w:sz="8" w:space="0" w:color="000000"/>
            </w:tcBorders>
          </w:tcPr>
          <w:p>
            <w:pPr>
              <w:pStyle w:val="TableParagraph"/>
              <w:spacing w:before="78"/>
              <w:ind w:left="59" w:right="27"/>
              <w:jc w:val="center"/>
              <w:rPr>
                <w:rFonts w:ascii="Microsoft JhengHei" w:eastAsia="Microsoft JhengHei" w:hint="eastAsia"/>
                <w:b/>
                <w:sz w:val="24"/>
              </w:rPr>
            </w:pPr>
            <w:r>
              <w:rPr>
                <w:rFonts w:ascii="Microsoft JhengHei" w:eastAsia="Microsoft JhengHei" w:hint="eastAsia"/>
                <w:b/>
                <w:w w:val="95"/>
                <w:sz w:val="24"/>
              </w:rPr>
              <w:t>2017 年</w:t>
            </w:r>
          </w:p>
        </w:tc>
        <w:tc>
          <w:tcPr>
            <w:tcW w:w="995" w:type="dxa"/>
            <w:tcBorders>
              <w:left w:val="single" w:sz="8" w:space="0" w:color="000000"/>
              <w:bottom w:val="single" w:sz="8" w:space="0" w:color="000000"/>
              <w:right w:val="single" w:sz="8" w:space="0" w:color="000000"/>
            </w:tcBorders>
          </w:tcPr>
          <w:p>
            <w:pPr>
              <w:pStyle w:val="TableParagraph"/>
              <w:spacing w:before="78"/>
              <w:ind w:right="79"/>
              <w:jc w:val="right"/>
              <w:rPr>
                <w:rFonts w:ascii="Microsoft JhengHei" w:eastAsia="Microsoft JhengHei" w:hint="eastAsia"/>
                <w:b/>
                <w:sz w:val="24"/>
              </w:rPr>
            </w:pPr>
            <w:r>
              <w:rPr>
                <w:rFonts w:ascii="Microsoft JhengHei" w:eastAsia="Microsoft JhengHei" w:hint="eastAsia"/>
                <w:b/>
                <w:w w:val="90"/>
                <w:sz w:val="24"/>
              </w:rPr>
              <w:t>2018 年</w:t>
            </w:r>
          </w:p>
        </w:tc>
        <w:tc>
          <w:tcPr>
            <w:tcW w:w="1276" w:type="dxa"/>
            <w:tcBorders>
              <w:left w:val="single" w:sz="8" w:space="0" w:color="000000"/>
              <w:bottom w:val="single" w:sz="8" w:space="0" w:color="000000"/>
            </w:tcBorders>
          </w:tcPr>
          <w:p>
            <w:pPr>
              <w:pStyle w:val="TableParagraph"/>
              <w:rPr>
                <w:rFonts w:ascii="Times New Roman"/>
                <w:sz w:val="22"/>
              </w:rPr>
            </w:pPr>
          </w:p>
        </w:tc>
      </w:tr>
      <w:tr>
        <w:trPr>
          <w:trHeight w:val="561" w:hRule="atLeast"/>
        </w:trPr>
        <w:tc>
          <w:tcPr>
            <w:tcW w:w="718" w:type="dxa"/>
            <w:vMerge w:val="restart"/>
            <w:tcBorders>
              <w:top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before="5"/>
              <w:rPr>
                <w:rFonts w:ascii="黑体"/>
                <w:b/>
                <w:sz w:val="28"/>
              </w:rPr>
            </w:pPr>
          </w:p>
          <w:p>
            <w:pPr>
              <w:pStyle w:val="TableParagraph"/>
              <w:ind w:left="97" w:right="74"/>
              <w:jc w:val="center"/>
              <w:rPr>
                <w:sz w:val="24"/>
              </w:rPr>
            </w:pPr>
            <w:r>
              <w:rPr>
                <w:sz w:val="24"/>
              </w:rPr>
              <w:t>1304</w:t>
            </w:r>
          </w:p>
          <w:p>
            <w:pPr>
              <w:pStyle w:val="TableParagraph"/>
              <w:spacing w:before="5"/>
              <w:ind w:left="23"/>
              <w:jc w:val="center"/>
              <w:rPr>
                <w:sz w:val="24"/>
              </w:rPr>
            </w:pPr>
            <w:r>
              <w:rPr>
                <w:sz w:val="24"/>
              </w:rPr>
              <w:t>3</w:t>
            </w:r>
          </w:p>
        </w:tc>
        <w:tc>
          <w:tcPr>
            <w:tcW w:w="902" w:type="dxa"/>
            <w:vMerge w:val="restart"/>
            <w:tcBorders>
              <w:top w:val="single" w:sz="8" w:space="0" w:color="000000"/>
              <w:left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line="242" w:lineRule="auto" w:before="203"/>
              <w:ind w:left="216" w:right="183"/>
              <w:jc w:val="both"/>
              <w:rPr>
                <w:sz w:val="24"/>
              </w:rPr>
            </w:pPr>
            <w:r>
              <w:rPr>
                <w:sz w:val="24"/>
              </w:rPr>
              <w:t>湖南化工职业技术学院</w:t>
            </w:r>
          </w:p>
        </w:tc>
        <w:tc>
          <w:tcPr>
            <w:tcW w:w="657" w:type="dxa"/>
            <w:vMerge w:val="restart"/>
            <w:tcBorders>
              <w:top w:val="single" w:sz="8" w:space="0" w:color="000000"/>
              <w:left w:val="single" w:sz="8" w:space="0" w:color="000000"/>
              <w:bottom w:val="single" w:sz="8" w:space="0" w:color="000000"/>
              <w:right w:val="single" w:sz="8" w:space="0" w:color="000000"/>
            </w:tcBorders>
          </w:tcPr>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rPr>
                <w:rFonts w:ascii="黑体"/>
                <w:b/>
                <w:sz w:val="24"/>
              </w:rPr>
            </w:pPr>
          </w:p>
          <w:p>
            <w:pPr>
              <w:pStyle w:val="TableParagraph"/>
              <w:spacing w:before="4"/>
              <w:rPr>
                <w:rFonts w:ascii="黑体"/>
                <w:b/>
                <w:sz w:val="35"/>
              </w:rPr>
            </w:pPr>
          </w:p>
          <w:p>
            <w:pPr>
              <w:pStyle w:val="TableParagraph"/>
              <w:ind w:left="26"/>
              <w:jc w:val="center"/>
              <w:rPr>
                <w:sz w:val="24"/>
              </w:rPr>
            </w:pPr>
            <w:r>
              <w:rPr>
                <w:sz w:val="24"/>
              </w:rPr>
              <w:t>1</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30"/>
              <w:ind w:left="111"/>
              <w:rPr>
                <w:sz w:val="24"/>
              </w:rPr>
            </w:pPr>
            <w:r>
              <w:rPr>
                <w:sz w:val="24"/>
              </w:rPr>
              <w:t>全日制在校生人数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30"/>
              <w:ind w:left="27"/>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
              <w:rPr>
                <w:rFonts w:ascii="黑体"/>
                <w:b/>
                <w:sz w:val="20"/>
              </w:rPr>
            </w:pPr>
          </w:p>
          <w:p>
            <w:pPr>
              <w:pStyle w:val="TableParagraph"/>
              <w:spacing w:line="284" w:lineRule="exact"/>
              <w:ind w:left="52" w:right="27"/>
              <w:jc w:val="center"/>
              <w:rPr>
                <w:sz w:val="24"/>
              </w:rPr>
            </w:pPr>
            <w:r>
              <w:rPr>
                <w:sz w:val="24"/>
              </w:rPr>
              <w:t>9511</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
              <w:rPr>
                <w:rFonts w:ascii="黑体"/>
                <w:b/>
                <w:sz w:val="20"/>
              </w:rPr>
            </w:pPr>
          </w:p>
          <w:p>
            <w:pPr>
              <w:pStyle w:val="TableParagraph"/>
              <w:spacing w:line="284" w:lineRule="exact"/>
              <w:ind w:right="170"/>
              <w:jc w:val="right"/>
              <w:rPr>
                <w:sz w:val="24"/>
              </w:rPr>
            </w:pPr>
            <w:r>
              <w:rPr>
                <w:sz w:val="24"/>
              </w:rPr>
              <w:t>10735</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57"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24"/>
              <w:ind w:left="111"/>
              <w:rPr>
                <w:sz w:val="24"/>
              </w:rPr>
            </w:pPr>
            <w:r>
              <w:rPr>
                <w:sz w:val="24"/>
              </w:rPr>
              <w:t>毕业生人数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24"/>
              <w:ind w:left="27"/>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7"/>
              <w:rPr>
                <w:rFonts w:ascii="黑体"/>
                <w:b/>
                <w:sz w:val="19"/>
              </w:rPr>
            </w:pPr>
          </w:p>
          <w:p>
            <w:pPr>
              <w:pStyle w:val="TableParagraph"/>
              <w:spacing w:line="286" w:lineRule="exact"/>
              <w:ind w:left="52" w:right="27"/>
              <w:jc w:val="center"/>
              <w:rPr>
                <w:sz w:val="24"/>
              </w:rPr>
            </w:pPr>
            <w:r>
              <w:rPr>
                <w:sz w:val="24"/>
              </w:rPr>
              <w:t>2478</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7"/>
              <w:rPr>
                <w:rFonts w:ascii="黑体"/>
                <w:b/>
                <w:sz w:val="19"/>
              </w:rPr>
            </w:pPr>
          </w:p>
          <w:p>
            <w:pPr>
              <w:pStyle w:val="TableParagraph"/>
              <w:spacing w:line="286" w:lineRule="exact"/>
              <w:ind w:left="262"/>
              <w:rPr>
                <w:sz w:val="24"/>
              </w:rPr>
            </w:pPr>
            <w:r>
              <w:rPr>
                <w:sz w:val="24"/>
              </w:rPr>
              <w:t>3608</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57"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25"/>
              <w:ind w:left="351"/>
              <w:rPr>
                <w:sz w:val="24"/>
              </w:rPr>
            </w:pPr>
            <w:r>
              <w:rPr>
                <w:sz w:val="24"/>
              </w:rPr>
              <w:t>其中：就业人数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25"/>
              <w:ind w:left="27"/>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25"/>
              <w:ind w:left="52" w:right="27"/>
              <w:jc w:val="center"/>
              <w:rPr>
                <w:sz w:val="24"/>
              </w:rPr>
            </w:pPr>
            <w:r>
              <w:rPr>
                <w:sz w:val="24"/>
              </w:rPr>
              <w:t>2425</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25"/>
              <w:ind w:left="262"/>
              <w:rPr>
                <w:sz w:val="24"/>
              </w:rPr>
            </w:pPr>
            <w:r>
              <w:rPr>
                <w:sz w:val="24"/>
              </w:rPr>
              <w:t>3432</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57"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23"/>
              <w:ind w:left="111"/>
              <w:rPr>
                <w:sz w:val="24"/>
              </w:rPr>
            </w:pPr>
            <w:r>
              <w:rPr>
                <w:sz w:val="24"/>
              </w:rPr>
              <w:t>毕业生就业去向：</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23"/>
              <w:ind w:left="27"/>
              <w:jc w:val="center"/>
              <w:rPr>
                <w:sz w:val="24"/>
              </w:rPr>
            </w:pPr>
            <w:r>
              <w:rPr>
                <w:sz w:val="24"/>
              </w:rPr>
              <w:t>—</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23"/>
              <w:ind w:left="25"/>
              <w:jc w:val="center"/>
              <w:rPr>
                <w:sz w:val="24"/>
              </w:rPr>
            </w:pPr>
            <w:r>
              <w:rPr>
                <w:sz w:val="24"/>
              </w:rPr>
              <w:t>—</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23"/>
              <w:ind w:left="29"/>
              <w:jc w:val="center"/>
              <w:rPr>
                <w:sz w:val="24"/>
              </w:rPr>
            </w:pPr>
            <w:r>
              <w:rPr>
                <w:sz w:val="24"/>
              </w:rPr>
              <w:t>—</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351"/>
              <w:rPr>
                <w:sz w:val="24"/>
              </w:rPr>
            </w:pPr>
            <w:r>
              <w:rPr>
                <w:sz w:val="24"/>
              </w:rPr>
              <w:t>A 类:留在当地就业人</w:t>
            </w:r>
          </w:p>
          <w:p>
            <w:pPr>
              <w:pStyle w:val="TableParagraph"/>
              <w:spacing w:line="285" w:lineRule="exact" w:before="4"/>
              <w:ind w:left="111"/>
              <w:rPr>
                <w:sz w:val="24"/>
              </w:rPr>
            </w:pPr>
            <w:r>
              <w:rPr>
                <w:sz w:val="24"/>
              </w:rPr>
              <w:t>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3"/>
              <w:ind w:left="27"/>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3"/>
              <w:ind w:left="52" w:right="27"/>
              <w:jc w:val="center"/>
              <w:rPr>
                <w:sz w:val="24"/>
              </w:rPr>
            </w:pPr>
            <w:r>
              <w:rPr>
                <w:sz w:val="24"/>
              </w:rPr>
              <w:t>1142</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3"/>
              <w:ind w:left="262"/>
              <w:rPr>
                <w:sz w:val="24"/>
              </w:rPr>
            </w:pPr>
            <w:r>
              <w:rPr>
                <w:sz w:val="24"/>
              </w:rPr>
              <w:t>2007</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4" w:lineRule="exact"/>
              <w:ind w:left="351"/>
              <w:rPr>
                <w:sz w:val="24"/>
              </w:rPr>
            </w:pPr>
            <w:r>
              <w:rPr>
                <w:sz w:val="24"/>
              </w:rPr>
              <w:t>B 类:到西部地区和东</w:t>
            </w:r>
          </w:p>
          <w:p>
            <w:pPr>
              <w:pStyle w:val="TableParagraph"/>
              <w:spacing w:line="285" w:lineRule="exact" w:before="4"/>
              <w:ind w:left="111"/>
              <w:rPr>
                <w:sz w:val="24"/>
              </w:rPr>
            </w:pPr>
            <w:r>
              <w:rPr>
                <w:sz w:val="24"/>
              </w:rPr>
              <w:t>北地区就业人数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2"/>
              <w:ind w:left="27"/>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2"/>
              <w:ind w:left="52" w:right="27"/>
              <w:jc w:val="center"/>
              <w:rPr>
                <w:sz w:val="24"/>
              </w:rPr>
            </w:pPr>
            <w:r>
              <w:rPr>
                <w:sz w:val="24"/>
              </w:rPr>
              <w:t>761</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2"/>
              <w:ind w:left="322"/>
              <w:rPr>
                <w:sz w:val="24"/>
              </w:rPr>
            </w:pPr>
            <w:r>
              <w:rPr>
                <w:sz w:val="24"/>
              </w:rPr>
              <w:t>836</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6" w:lineRule="exact"/>
              <w:ind w:left="351"/>
              <w:rPr>
                <w:sz w:val="24"/>
              </w:rPr>
            </w:pPr>
            <w:r>
              <w:rPr>
                <w:sz w:val="24"/>
              </w:rPr>
              <w:t>C 类:到中小微企业等</w:t>
            </w:r>
          </w:p>
          <w:p>
            <w:pPr>
              <w:pStyle w:val="TableParagraph"/>
              <w:spacing w:line="284" w:lineRule="exact" w:before="4"/>
              <w:ind w:left="111"/>
              <w:rPr>
                <w:sz w:val="24"/>
              </w:rPr>
            </w:pPr>
            <w:r>
              <w:rPr>
                <w:sz w:val="24"/>
              </w:rPr>
              <w:t>基层服务人数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4"/>
              <w:ind w:left="27"/>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4"/>
              <w:ind w:left="52" w:right="27"/>
              <w:jc w:val="center"/>
              <w:rPr>
                <w:sz w:val="24"/>
              </w:rPr>
            </w:pPr>
            <w:r>
              <w:rPr>
                <w:sz w:val="24"/>
              </w:rPr>
              <w:t>1214</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4"/>
              <w:ind w:left="262"/>
              <w:rPr>
                <w:sz w:val="24"/>
              </w:rPr>
            </w:pPr>
            <w:r>
              <w:rPr>
                <w:sz w:val="24"/>
              </w:rPr>
              <w:t>1129</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351"/>
              <w:rPr>
                <w:sz w:val="24"/>
              </w:rPr>
            </w:pPr>
            <w:r>
              <w:rPr>
                <w:sz w:val="24"/>
              </w:rPr>
              <w:t>D</w:t>
            </w:r>
            <w:r>
              <w:rPr>
                <w:spacing w:val="-28"/>
                <w:sz w:val="24"/>
              </w:rPr>
              <w:t> 类:到 </w:t>
            </w:r>
            <w:r>
              <w:rPr>
                <w:sz w:val="24"/>
              </w:rPr>
              <w:t>500</w:t>
            </w:r>
            <w:r>
              <w:rPr>
                <w:spacing w:val="-14"/>
                <w:sz w:val="24"/>
              </w:rPr>
              <w:t> 强企业就</w:t>
            </w:r>
          </w:p>
          <w:p>
            <w:pPr>
              <w:pStyle w:val="TableParagraph"/>
              <w:spacing w:line="285" w:lineRule="exact" w:before="4"/>
              <w:ind w:left="111"/>
              <w:rPr>
                <w:sz w:val="24"/>
              </w:rPr>
            </w:pPr>
            <w:r>
              <w:rPr>
                <w:sz w:val="24"/>
              </w:rPr>
              <w:t>业人数</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3"/>
              <w:ind w:left="27"/>
              <w:jc w:val="center"/>
              <w:rPr>
                <w:sz w:val="24"/>
              </w:rPr>
            </w:pPr>
            <w:r>
              <w:rPr>
                <w:sz w:val="24"/>
              </w:rPr>
              <w:t>人</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3"/>
              <w:ind w:left="52" w:right="27"/>
              <w:jc w:val="center"/>
              <w:rPr>
                <w:sz w:val="24"/>
              </w:rPr>
            </w:pPr>
            <w:r>
              <w:rPr>
                <w:sz w:val="24"/>
              </w:rPr>
              <w:t>1079</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3"/>
              <w:ind w:left="262"/>
              <w:rPr>
                <w:sz w:val="24"/>
              </w:rPr>
            </w:pPr>
            <w:r>
              <w:rPr>
                <w:sz w:val="24"/>
              </w:rPr>
              <w:t>1794</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57"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rPr>
                <w:rFonts w:ascii="黑体"/>
                <w:b/>
                <w:sz w:val="34"/>
              </w:rPr>
            </w:pPr>
          </w:p>
          <w:p>
            <w:pPr>
              <w:pStyle w:val="TableParagraph"/>
              <w:ind w:left="26"/>
              <w:jc w:val="center"/>
              <w:rPr>
                <w:sz w:val="24"/>
              </w:rPr>
            </w:pPr>
            <w:r>
              <w:rPr>
                <w:sz w:val="24"/>
              </w:rPr>
              <w:t>2</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23"/>
              <w:ind w:left="111"/>
              <w:rPr>
                <w:sz w:val="24"/>
              </w:rPr>
            </w:pPr>
            <w:r>
              <w:rPr>
                <w:sz w:val="24"/>
              </w:rPr>
              <w:t>横向技术服务到款额</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23"/>
              <w:ind w:left="168"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23"/>
              <w:ind w:left="52" w:right="27"/>
              <w:jc w:val="center"/>
              <w:rPr>
                <w:sz w:val="24"/>
              </w:rPr>
            </w:pPr>
            <w:r>
              <w:rPr>
                <w:sz w:val="24"/>
              </w:rPr>
              <w:t>157</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23"/>
              <w:ind w:right="110"/>
              <w:jc w:val="right"/>
              <w:rPr>
                <w:sz w:val="24"/>
              </w:rPr>
            </w:pPr>
            <w:r>
              <w:rPr>
                <w:sz w:val="24"/>
              </w:rPr>
              <w:t>1273.5</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613"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bottom w:val="single" w:sz="8" w:space="0" w:color="000000"/>
              <w:right w:val="single" w:sz="8" w:space="0" w:color="000000"/>
            </w:tcBorders>
          </w:tcPr>
          <w:p>
            <w:pPr>
              <w:rPr>
                <w:sz w:val="2"/>
                <w:szCs w:val="2"/>
              </w:rPr>
            </w:pP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line="305" w:lineRule="exact"/>
              <w:ind w:left="111"/>
              <w:rPr>
                <w:sz w:val="24"/>
              </w:rPr>
            </w:pPr>
            <w:r>
              <w:rPr>
                <w:sz w:val="24"/>
              </w:rPr>
              <w:t>横向技术服务产生的经</w:t>
            </w:r>
          </w:p>
          <w:p>
            <w:pPr>
              <w:pStyle w:val="TableParagraph"/>
              <w:spacing w:line="284" w:lineRule="exact" w:before="4"/>
              <w:ind w:left="111"/>
              <w:rPr>
                <w:sz w:val="24"/>
              </w:rPr>
            </w:pPr>
            <w:r>
              <w:rPr>
                <w:sz w:val="24"/>
              </w:rPr>
              <w:t>济效益</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53"/>
              <w:ind w:left="168"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53"/>
              <w:ind w:left="52" w:right="27"/>
              <w:jc w:val="center"/>
              <w:rPr>
                <w:sz w:val="24"/>
              </w:rPr>
            </w:pPr>
            <w:r>
              <w:rPr>
                <w:sz w:val="24"/>
              </w:rPr>
              <w:t>6130</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53"/>
              <w:ind w:left="262"/>
              <w:rPr>
                <w:sz w:val="24"/>
              </w:rPr>
            </w:pPr>
            <w:r>
              <w:rPr>
                <w:sz w:val="24"/>
              </w:rPr>
              <w:t>9370</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56"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tcBorders>
              <w:top w:val="single" w:sz="8" w:space="0" w:color="000000"/>
              <w:left w:val="single" w:sz="8" w:space="0" w:color="000000"/>
              <w:bottom w:val="single" w:sz="8" w:space="0" w:color="000000"/>
              <w:right w:val="single" w:sz="8" w:space="0" w:color="000000"/>
            </w:tcBorders>
          </w:tcPr>
          <w:p>
            <w:pPr>
              <w:pStyle w:val="TableParagraph"/>
              <w:spacing w:before="124"/>
              <w:ind w:left="26"/>
              <w:jc w:val="center"/>
              <w:rPr>
                <w:sz w:val="24"/>
              </w:rPr>
            </w:pPr>
            <w:r>
              <w:rPr>
                <w:sz w:val="24"/>
              </w:rPr>
              <w:t>3</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24"/>
              <w:ind w:left="111"/>
              <w:rPr>
                <w:sz w:val="24"/>
              </w:rPr>
            </w:pPr>
            <w:r>
              <w:rPr>
                <w:sz w:val="24"/>
              </w:rPr>
              <w:t>纵向科研经费到款额</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24"/>
              <w:ind w:left="168"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24"/>
              <w:ind w:left="52" w:right="27"/>
              <w:jc w:val="center"/>
              <w:rPr>
                <w:sz w:val="24"/>
              </w:rPr>
            </w:pPr>
            <w:r>
              <w:rPr>
                <w:sz w:val="24"/>
              </w:rPr>
              <w:t>75.5</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24"/>
              <w:ind w:right="170"/>
              <w:jc w:val="right"/>
              <w:rPr>
                <w:sz w:val="24"/>
              </w:rPr>
            </w:pPr>
            <w:r>
              <w:rPr>
                <w:sz w:val="24"/>
              </w:rPr>
              <w:t>527.5</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57"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tcBorders>
              <w:top w:val="single" w:sz="8" w:space="0" w:color="000000"/>
              <w:left w:val="single" w:sz="8" w:space="0" w:color="000000"/>
              <w:bottom w:val="single" w:sz="8" w:space="0" w:color="000000"/>
              <w:right w:val="single" w:sz="8" w:space="0" w:color="000000"/>
            </w:tcBorders>
          </w:tcPr>
          <w:p>
            <w:pPr>
              <w:pStyle w:val="TableParagraph"/>
              <w:spacing w:before="125"/>
              <w:ind w:left="26"/>
              <w:jc w:val="center"/>
              <w:rPr>
                <w:sz w:val="24"/>
              </w:rPr>
            </w:pPr>
            <w:r>
              <w:rPr>
                <w:sz w:val="24"/>
              </w:rPr>
              <w:t>4</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25"/>
              <w:ind w:left="111"/>
              <w:rPr>
                <w:sz w:val="24"/>
              </w:rPr>
            </w:pPr>
            <w:r>
              <w:rPr>
                <w:sz w:val="24"/>
              </w:rPr>
              <w:t>技术交易到款额</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25"/>
              <w:ind w:left="168"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25"/>
              <w:ind w:left="52" w:right="27"/>
              <w:jc w:val="center"/>
              <w:rPr>
                <w:sz w:val="24"/>
              </w:rPr>
            </w:pPr>
            <w:r>
              <w:rPr>
                <w:sz w:val="24"/>
              </w:rPr>
              <w:t>100</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25"/>
              <w:ind w:left="322"/>
              <w:rPr>
                <w:sz w:val="24"/>
              </w:rPr>
            </w:pPr>
            <w:r>
              <w:rPr>
                <w:sz w:val="24"/>
              </w:rPr>
              <w:t>734</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57"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tcBorders>
              <w:top w:val="single" w:sz="8" w:space="0" w:color="000000"/>
              <w:left w:val="single" w:sz="8" w:space="0" w:color="000000"/>
              <w:bottom w:val="single" w:sz="8" w:space="0" w:color="000000"/>
              <w:right w:val="single" w:sz="8" w:space="0" w:color="000000"/>
            </w:tcBorders>
          </w:tcPr>
          <w:p>
            <w:pPr>
              <w:pStyle w:val="TableParagraph"/>
              <w:spacing w:before="123"/>
              <w:ind w:left="26"/>
              <w:jc w:val="center"/>
              <w:rPr>
                <w:sz w:val="24"/>
              </w:rPr>
            </w:pPr>
            <w:r>
              <w:rPr>
                <w:sz w:val="24"/>
              </w:rPr>
              <w:t>5</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23"/>
              <w:ind w:left="111"/>
              <w:rPr>
                <w:sz w:val="24"/>
              </w:rPr>
            </w:pPr>
            <w:r>
              <w:rPr>
                <w:sz w:val="24"/>
              </w:rPr>
              <w:t>非学历培训到款额</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23"/>
              <w:ind w:left="168" w:right="141"/>
              <w:jc w:val="center"/>
              <w:rPr>
                <w:sz w:val="24"/>
              </w:rPr>
            </w:pPr>
            <w:r>
              <w:rPr>
                <w:sz w:val="24"/>
              </w:rPr>
              <w:t>万元</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23"/>
              <w:ind w:left="52" w:right="27"/>
              <w:jc w:val="center"/>
              <w:rPr>
                <w:sz w:val="24"/>
              </w:rPr>
            </w:pPr>
            <w:r>
              <w:rPr>
                <w:sz w:val="24"/>
              </w:rPr>
              <w:t>873.27</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23"/>
              <w:ind w:right="110"/>
              <w:jc w:val="right"/>
              <w:rPr>
                <w:sz w:val="24"/>
              </w:rPr>
            </w:pPr>
            <w:r>
              <w:rPr>
                <w:sz w:val="24"/>
              </w:rPr>
              <w:t>1058.2</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57"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57" w:type="dxa"/>
            <w:tcBorders>
              <w:top w:val="single" w:sz="8" w:space="0" w:color="000000"/>
              <w:left w:val="single" w:sz="8" w:space="0" w:color="000000"/>
              <w:bottom w:val="single" w:sz="8" w:space="0" w:color="000000"/>
              <w:right w:val="single" w:sz="8" w:space="0" w:color="000000"/>
            </w:tcBorders>
          </w:tcPr>
          <w:p>
            <w:pPr>
              <w:pStyle w:val="TableParagraph"/>
              <w:spacing w:before="124"/>
              <w:ind w:left="26"/>
              <w:jc w:val="center"/>
              <w:rPr>
                <w:sz w:val="24"/>
              </w:rPr>
            </w:pPr>
            <w:r>
              <w:rPr>
                <w:sz w:val="24"/>
              </w:rPr>
              <w:t>6</w:t>
            </w:r>
          </w:p>
        </w:tc>
        <w:tc>
          <w:tcPr>
            <w:tcW w:w="2658" w:type="dxa"/>
            <w:tcBorders>
              <w:top w:val="single" w:sz="8" w:space="0" w:color="000000"/>
              <w:left w:val="single" w:sz="8" w:space="0" w:color="000000"/>
              <w:bottom w:val="single" w:sz="8" w:space="0" w:color="000000"/>
              <w:right w:val="single" w:sz="8" w:space="0" w:color="000000"/>
            </w:tcBorders>
          </w:tcPr>
          <w:p>
            <w:pPr>
              <w:pStyle w:val="TableParagraph"/>
              <w:spacing w:before="124"/>
              <w:ind w:left="111"/>
              <w:rPr>
                <w:sz w:val="24"/>
              </w:rPr>
            </w:pPr>
            <w:r>
              <w:rPr>
                <w:sz w:val="24"/>
              </w:rPr>
              <w:t>公益性培训服务</w:t>
            </w:r>
          </w:p>
        </w:tc>
        <w:tc>
          <w:tcPr>
            <w:tcW w:w="852" w:type="dxa"/>
            <w:tcBorders>
              <w:top w:val="single" w:sz="8" w:space="0" w:color="000000"/>
              <w:left w:val="single" w:sz="8" w:space="0" w:color="000000"/>
              <w:bottom w:val="single" w:sz="8" w:space="0" w:color="000000"/>
              <w:right w:val="single" w:sz="8" w:space="0" w:color="000000"/>
            </w:tcBorders>
          </w:tcPr>
          <w:p>
            <w:pPr>
              <w:pStyle w:val="TableParagraph"/>
              <w:spacing w:before="124"/>
              <w:ind w:left="168" w:right="141"/>
              <w:jc w:val="center"/>
              <w:rPr>
                <w:sz w:val="24"/>
              </w:rPr>
            </w:pPr>
            <w:r>
              <w:rPr>
                <w:sz w:val="24"/>
              </w:rPr>
              <w:t>人日</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124"/>
              <w:ind w:left="52" w:right="27"/>
              <w:jc w:val="center"/>
              <w:rPr>
                <w:sz w:val="24"/>
              </w:rPr>
            </w:pPr>
            <w:r>
              <w:rPr>
                <w:sz w:val="24"/>
              </w:rPr>
              <w:t>10373</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24"/>
              <w:ind w:right="110"/>
              <w:jc w:val="right"/>
              <w:rPr>
                <w:sz w:val="24"/>
              </w:rPr>
            </w:pPr>
            <w:r>
              <w:rPr>
                <w:sz w:val="24"/>
              </w:rPr>
              <w:t>145617</w:t>
            </w:r>
          </w:p>
        </w:tc>
        <w:tc>
          <w:tcPr>
            <w:tcW w:w="1276"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834" w:hRule="atLeast"/>
        </w:trPr>
        <w:tc>
          <w:tcPr>
            <w:tcW w:w="718" w:type="dxa"/>
            <w:vMerge/>
            <w:tcBorders>
              <w:top w:val="nil"/>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6155" w:type="dxa"/>
            <w:gridSpan w:val="5"/>
            <w:tcBorders>
              <w:top w:val="single" w:sz="8" w:space="0" w:color="000000"/>
              <w:left w:val="single" w:sz="8" w:space="0" w:color="000000"/>
              <w:right w:val="single" w:sz="8" w:space="0" w:color="000000"/>
            </w:tcBorders>
          </w:tcPr>
          <w:p>
            <w:pPr>
              <w:pStyle w:val="TableParagraph"/>
              <w:tabs>
                <w:tab w:pos="4202" w:val="left" w:leader="none"/>
              </w:tabs>
              <w:spacing w:before="106"/>
              <w:ind w:left="113"/>
              <w:rPr>
                <w:sz w:val="24"/>
              </w:rPr>
            </w:pPr>
            <w:r>
              <w:rPr>
                <w:sz w:val="24"/>
              </w:rPr>
              <w:t>主要办学经费来源(单选)：省级(</w:t>
            </w:r>
            <w:r>
              <w:rPr>
                <w:rFonts w:ascii="Arial" w:hAnsi="Arial" w:eastAsia="Arial"/>
                <w:sz w:val="24"/>
              </w:rPr>
              <w:t>√</w:t>
            </w:r>
            <w:r>
              <w:rPr>
                <w:sz w:val="24"/>
              </w:rPr>
              <w:t>)</w:t>
              <w:tab/>
              <w:t>地市级()</w:t>
            </w:r>
          </w:p>
          <w:p>
            <w:pPr>
              <w:pStyle w:val="TableParagraph"/>
              <w:tabs>
                <w:tab w:pos="4553" w:val="left" w:leader="none"/>
              </w:tabs>
              <w:spacing w:before="5"/>
              <w:ind w:left="2513"/>
              <w:rPr>
                <w:sz w:val="24"/>
              </w:rPr>
            </w:pPr>
            <w:r>
              <w:rPr>
                <w:sz w:val="24"/>
              </w:rPr>
              <w:t>行业或企业()</w:t>
              <w:tab/>
              <w:t>其他()</w:t>
            </w:r>
          </w:p>
        </w:tc>
        <w:tc>
          <w:tcPr>
            <w:tcW w:w="1276" w:type="dxa"/>
            <w:tcBorders>
              <w:top w:val="single" w:sz="8" w:space="0" w:color="000000"/>
              <w:left w:val="single" w:sz="8" w:space="0" w:color="000000"/>
            </w:tcBorders>
          </w:tcPr>
          <w:p>
            <w:pPr>
              <w:pStyle w:val="TableParagraph"/>
              <w:rPr>
                <w:rFonts w:ascii="Times New Roman"/>
                <w:sz w:val="22"/>
              </w:rPr>
            </w:pPr>
          </w:p>
        </w:tc>
      </w:tr>
    </w:tbl>
    <w:p>
      <w:pPr>
        <w:spacing w:after="0"/>
        <w:rPr>
          <w:rFonts w:ascii="Times New Roman"/>
          <w:sz w:val="22"/>
        </w:rPr>
        <w:sectPr>
          <w:footerReference w:type="default" r:id="rId92"/>
          <w:pgSz w:w="11910" w:h="16840"/>
          <w:pgMar w:footer="1241" w:header="780" w:top="1260" w:bottom="1440" w:left="0" w:right="0"/>
          <w:pgNumType w:start="80"/>
        </w:sectPr>
      </w:pPr>
    </w:p>
    <w:p>
      <w:pPr>
        <w:pStyle w:val="BodyText"/>
        <w:rPr>
          <w:rFonts w:ascii="黑体"/>
          <w:b/>
          <w:sz w:val="20"/>
        </w:rPr>
      </w:pPr>
    </w:p>
    <w:p>
      <w:pPr>
        <w:pStyle w:val="BodyText"/>
        <w:rPr>
          <w:rFonts w:ascii="黑体"/>
          <w:b/>
          <w:sz w:val="20"/>
        </w:rPr>
      </w:pPr>
    </w:p>
    <w:p>
      <w:pPr>
        <w:pStyle w:val="BodyText"/>
        <w:spacing w:before="5"/>
        <w:rPr>
          <w:rFonts w:ascii="黑体"/>
          <w:b/>
          <w:sz w:val="22"/>
        </w:rPr>
      </w:pPr>
    </w:p>
    <w:p>
      <w:pPr>
        <w:pStyle w:val="Heading2"/>
        <w:tabs>
          <w:tab w:pos="2800" w:val="left" w:leader="none"/>
        </w:tabs>
        <w:spacing w:before="66"/>
        <w:ind w:left="1898" w:firstLine="0"/>
      </w:pPr>
      <w:bookmarkStart w:name="附表6  落实政策表" w:id="304"/>
      <w:bookmarkEnd w:id="304"/>
      <w:r>
        <w:rPr>
          <w:b w:val="0"/>
        </w:rPr>
      </w:r>
      <w:bookmarkStart w:name="_bookmark111" w:id="305"/>
      <w:bookmarkEnd w:id="305"/>
      <w:r>
        <w:rPr>
          <w:b w:val="0"/>
        </w:rPr>
      </w:r>
      <w:r>
        <w:rPr/>
        <w:t>附表</w:t>
      </w:r>
      <w:r>
        <w:rPr>
          <w:spacing w:val="-62"/>
        </w:rPr>
        <w:t> </w:t>
      </w:r>
      <w:r>
        <w:rPr/>
        <w:t>6</w:t>
        <w:tab/>
        <w:t>落实政策表</w:t>
      </w:r>
    </w:p>
    <w:p>
      <w:pPr>
        <w:pStyle w:val="BodyText"/>
        <w:spacing w:before="1"/>
        <w:rPr>
          <w:rFonts w:ascii="黑体"/>
          <w:b/>
        </w:rPr>
      </w:pPr>
    </w:p>
    <w:p>
      <w:pPr>
        <w:spacing w:before="62"/>
        <w:ind w:left="0" w:right="35" w:firstLine="0"/>
        <w:jc w:val="center"/>
        <w:rPr>
          <w:rFonts w:ascii="黑体" w:eastAsia="黑体" w:hint="eastAsia"/>
          <w:b/>
          <w:sz w:val="28"/>
        </w:rPr>
      </w:pPr>
      <w:r>
        <w:rPr>
          <w:rFonts w:ascii="黑体" w:eastAsia="黑体" w:hint="eastAsia"/>
          <w:b/>
          <w:sz w:val="28"/>
        </w:rPr>
        <w:t>落实政策表</w:t>
      </w:r>
    </w:p>
    <w:p>
      <w:pPr>
        <w:pStyle w:val="BodyText"/>
        <w:spacing w:before="4"/>
        <w:rPr>
          <w:rFonts w:ascii="黑体"/>
          <w:b/>
          <w:sz w:val="10"/>
        </w:rPr>
      </w:pPr>
    </w:p>
    <w:tbl>
      <w:tblPr>
        <w:tblW w:w="0" w:type="auto"/>
        <w:jc w:val="left"/>
        <w:tblInd w:w="13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1"/>
        <w:gridCol w:w="852"/>
        <w:gridCol w:w="425"/>
        <w:gridCol w:w="3832"/>
        <w:gridCol w:w="996"/>
        <w:gridCol w:w="1099"/>
        <w:gridCol w:w="1116"/>
      </w:tblGrid>
      <w:tr>
        <w:trPr>
          <w:trHeight w:val="717" w:hRule="atLeast"/>
        </w:trPr>
        <w:tc>
          <w:tcPr>
            <w:tcW w:w="851" w:type="dxa"/>
            <w:tcBorders>
              <w:bottom w:val="single" w:sz="8" w:space="0" w:color="000000"/>
              <w:right w:val="single" w:sz="8" w:space="0" w:color="000000"/>
            </w:tcBorders>
          </w:tcPr>
          <w:p>
            <w:pPr>
              <w:pStyle w:val="TableParagraph"/>
              <w:spacing w:line="346" w:lineRule="exact"/>
              <w:ind w:left="185"/>
              <w:rPr>
                <w:rFonts w:ascii="Microsoft JhengHei" w:eastAsia="Microsoft JhengHei" w:hint="eastAsia"/>
                <w:b/>
                <w:sz w:val="24"/>
              </w:rPr>
            </w:pPr>
            <w:r>
              <w:rPr>
                <w:rFonts w:ascii="Microsoft JhengHei" w:eastAsia="Microsoft JhengHei" w:hint="eastAsia"/>
                <w:b/>
                <w:sz w:val="24"/>
              </w:rPr>
              <w:t>院校</w:t>
            </w:r>
          </w:p>
          <w:p>
            <w:pPr>
              <w:pStyle w:val="TableParagraph"/>
              <w:spacing w:line="351" w:lineRule="exact"/>
              <w:ind w:left="185"/>
              <w:rPr>
                <w:rFonts w:ascii="Microsoft JhengHei" w:eastAsia="Microsoft JhengHei" w:hint="eastAsia"/>
                <w:b/>
                <w:sz w:val="24"/>
              </w:rPr>
            </w:pPr>
            <w:r>
              <w:rPr>
                <w:rFonts w:ascii="Microsoft JhengHei" w:eastAsia="Microsoft JhengHei" w:hint="eastAsia"/>
                <w:b/>
                <w:sz w:val="24"/>
              </w:rPr>
              <w:t>代码</w:t>
            </w:r>
          </w:p>
        </w:tc>
        <w:tc>
          <w:tcPr>
            <w:tcW w:w="852" w:type="dxa"/>
            <w:tcBorders>
              <w:left w:val="single" w:sz="8" w:space="0" w:color="000000"/>
              <w:bottom w:val="single" w:sz="8" w:space="0" w:color="000000"/>
              <w:right w:val="single" w:sz="8" w:space="0" w:color="000000"/>
            </w:tcBorders>
          </w:tcPr>
          <w:p>
            <w:pPr>
              <w:pStyle w:val="TableParagraph"/>
              <w:spacing w:line="346" w:lineRule="exact"/>
              <w:ind w:left="191"/>
              <w:rPr>
                <w:rFonts w:ascii="Microsoft JhengHei" w:eastAsia="Microsoft JhengHei" w:hint="eastAsia"/>
                <w:b/>
                <w:sz w:val="24"/>
              </w:rPr>
            </w:pPr>
            <w:r>
              <w:rPr>
                <w:rFonts w:ascii="Microsoft JhengHei" w:eastAsia="Microsoft JhengHei" w:hint="eastAsia"/>
                <w:b/>
                <w:sz w:val="24"/>
              </w:rPr>
              <w:t>院校</w:t>
            </w:r>
          </w:p>
          <w:p>
            <w:pPr>
              <w:pStyle w:val="TableParagraph"/>
              <w:spacing w:line="351" w:lineRule="exact"/>
              <w:ind w:left="191"/>
              <w:rPr>
                <w:rFonts w:ascii="Microsoft JhengHei" w:eastAsia="Microsoft JhengHei" w:hint="eastAsia"/>
                <w:b/>
                <w:sz w:val="24"/>
              </w:rPr>
            </w:pPr>
            <w:r>
              <w:rPr>
                <w:rFonts w:ascii="Microsoft JhengHei" w:eastAsia="Microsoft JhengHei" w:hint="eastAsia"/>
                <w:b/>
                <w:sz w:val="24"/>
              </w:rPr>
              <w:t>名称</w:t>
            </w:r>
          </w:p>
        </w:tc>
        <w:tc>
          <w:tcPr>
            <w:tcW w:w="4257" w:type="dxa"/>
            <w:gridSpan w:val="2"/>
            <w:tcBorders>
              <w:left w:val="single" w:sz="8" w:space="0" w:color="000000"/>
              <w:bottom w:val="single" w:sz="8" w:space="0" w:color="000000"/>
              <w:right w:val="single" w:sz="8" w:space="0" w:color="000000"/>
            </w:tcBorders>
          </w:tcPr>
          <w:p>
            <w:pPr>
              <w:pStyle w:val="TableParagraph"/>
              <w:spacing w:before="124"/>
              <w:ind w:left="1872" w:right="1844"/>
              <w:jc w:val="center"/>
              <w:rPr>
                <w:rFonts w:ascii="Microsoft JhengHei" w:eastAsia="Microsoft JhengHei" w:hint="eastAsia"/>
                <w:b/>
                <w:sz w:val="24"/>
              </w:rPr>
            </w:pPr>
            <w:r>
              <w:rPr>
                <w:rFonts w:ascii="Microsoft JhengHei" w:eastAsia="Microsoft JhengHei" w:hint="eastAsia"/>
                <w:b/>
                <w:sz w:val="24"/>
              </w:rPr>
              <w:t>指标</w:t>
            </w:r>
          </w:p>
        </w:tc>
        <w:tc>
          <w:tcPr>
            <w:tcW w:w="996" w:type="dxa"/>
            <w:tcBorders>
              <w:left w:val="single" w:sz="8" w:space="0" w:color="000000"/>
              <w:bottom w:val="single" w:sz="8" w:space="0" w:color="000000"/>
              <w:right w:val="single" w:sz="8" w:space="0" w:color="000000"/>
            </w:tcBorders>
          </w:tcPr>
          <w:p>
            <w:pPr>
              <w:pStyle w:val="TableParagraph"/>
              <w:spacing w:before="124"/>
              <w:ind w:left="241" w:right="215"/>
              <w:jc w:val="center"/>
              <w:rPr>
                <w:rFonts w:ascii="Microsoft JhengHei" w:eastAsia="Microsoft JhengHei" w:hint="eastAsia"/>
                <w:b/>
                <w:sz w:val="24"/>
              </w:rPr>
            </w:pPr>
            <w:r>
              <w:rPr>
                <w:rFonts w:ascii="Microsoft JhengHei" w:eastAsia="Microsoft JhengHei" w:hint="eastAsia"/>
                <w:b/>
                <w:sz w:val="24"/>
              </w:rPr>
              <w:t>单位</w:t>
            </w:r>
          </w:p>
        </w:tc>
        <w:tc>
          <w:tcPr>
            <w:tcW w:w="1099" w:type="dxa"/>
            <w:tcBorders>
              <w:left w:val="single" w:sz="8" w:space="0" w:color="000000"/>
              <w:bottom w:val="single" w:sz="8" w:space="0" w:color="000000"/>
              <w:right w:val="single" w:sz="8" w:space="0" w:color="000000"/>
            </w:tcBorders>
          </w:tcPr>
          <w:p>
            <w:pPr>
              <w:pStyle w:val="TableParagraph"/>
              <w:spacing w:before="124"/>
              <w:ind w:left="98" w:right="69"/>
              <w:jc w:val="center"/>
              <w:rPr>
                <w:rFonts w:ascii="Microsoft JhengHei" w:eastAsia="Microsoft JhengHei" w:hint="eastAsia"/>
                <w:b/>
                <w:sz w:val="24"/>
              </w:rPr>
            </w:pPr>
            <w:r>
              <w:rPr>
                <w:rFonts w:ascii="Microsoft JhengHei" w:eastAsia="Microsoft JhengHei" w:hint="eastAsia"/>
                <w:b/>
                <w:sz w:val="24"/>
              </w:rPr>
              <w:t>2017 年</w:t>
            </w:r>
          </w:p>
        </w:tc>
        <w:tc>
          <w:tcPr>
            <w:tcW w:w="1116" w:type="dxa"/>
            <w:tcBorders>
              <w:left w:val="single" w:sz="8" w:space="0" w:color="000000"/>
              <w:bottom w:val="single" w:sz="8" w:space="0" w:color="000000"/>
            </w:tcBorders>
          </w:tcPr>
          <w:p>
            <w:pPr>
              <w:pStyle w:val="TableParagraph"/>
              <w:spacing w:before="124"/>
              <w:ind w:right="133"/>
              <w:jc w:val="right"/>
              <w:rPr>
                <w:rFonts w:ascii="Microsoft JhengHei" w:eastAsia="Microsoft JhengHei" w:hint="eastAsia"/>
                <w:b/>
                <w:sz w:val="24"/>
              </w:rPr>
            </w:pPr>
            <w:r>
              <w:rPr>
                <w:rFonts w:ascii="Microsoft JhengHei" w:eastAsia="Microsoft JhengHei" w:hint="eastAsia"/>
                <w:b/>
                <w:w w:val="90"/>
                <w:sz w:val="24"/>
              </w:rPr>
              <w:t>2018 年</w:t>
            </w:r>
          </w:p>
        </w:tc>
      </w:tr>
      <w:tr>
        <w:trPr>
          <w:trHeight w:val="567" w:hRule="atLeast"/>
        </w:trPr>
        <w:tc>
          <w:tcPr>
            <w:tcW w:w="851" w:type="dxa"/>
            <w:vMerge w:val="restart"/>
            <w:tcBorders>
              <w:top w:val="single" w:sz="8" w:space="0" w:color="000000"/>
              <w:bottom w:val="nil"/>
              <w:right w:val="single" w:sz="8" w:space="0" w:color="000000"/>
            </w:tcBorders>
          </w:tcPr>
          <w:p>
            <w:pPr>
              <w:pStyle w:val="TableParagraph"/>
              <w:rPr>
                <w:rFonts w:ascii="Times New Roman"/>
                <w:sz w:val="22"/>
              </w:rPr>
            </w:pPr>
          </w:p>
        </w:tc>
        <w:tc>
          <w:tcPr>
            <w:tcW w:w="852" w:type="dxa"/>
            <w:vMerge w:val="restart"/>
            <w:tcBorders>
              <w:top w:val="single" w:sz="8" w:space="0" w:color="000000"/>
              <w:left w:val="single" w:sz="8" w:space="0" w:color="000000"/>
              <w:bottom w:val="nil"/>
              <w:right w:val="single" w:sz="8" w:space="0" w:color="000000"/>
            </w:tcBorders>
          </w:tcPr>
          <w:p>
            <w:pPr>
              <w:pStyle w:val="TableParagraph"/>
              <w:rPr>
                <w:rFonts w:ascii="Times New Roman"/>
                <w:sz w:val="22"/>
              </w:rPr>
            </w:pPr>
          </w:p>
        </w:tc>
        <w:tc>
          <w:tcPr>
            <w:tcW w:w="425" w:type="dxa"/>
            <w:vMerge w:val="restart"/>
            <w:tcBorders>
              <w:top w:val="single" w:sz="8" w:space="0" w:color="000000"/>
              <w:left w:val="single" w:sz="8" w:space="0" w:color="000000"/>
              <w:bottom w:val="single" w:sz="8" w:space="0" w:color="000000"/>
              <w:right w:val="single" w:sz="8" w:space="0" w:color="000000"/>
            </w:tcBorders>
          </w:tcPr>
          <w:p>
            <w:pPr>
              <w:pStyle w:val="TableParagraph"/>
              <w:rPr>
                <w:rFonts w:ascii="黑体"/>
                <w:b/>
                <w:sz w:val="33"/>
              </w:rPr>
            </w:pPr>
          </w:p>
          <w:p>
            <w:pPr>
              <w:pStyle w:val="TableParagraph"/>
              <w:spacing w:before="1"/>
              <w:ind w:left="155"/>
              <w:rPr>
                <w:sz w:val="24"/>
              </w:rPr>
            </w:pPr>
            <w:r>
              <w:rPr>
                <w:sz w:val="24"/>
              </w:rPr>
              <w:t>1</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131"/>
              <w:ind w:left="111"/>
              <w:rPr>
                <w:sz w:val="24"/>
              </w:rPr>
            </w:pPr>
            <w:r>
              <w:rPr>
                <w:sz w:val="24"/>
              </w:rPr>
              <w:t>年生均财政拨款水平</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131"/>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131"/>
              <w:ind w:left="98" w:right="69"/>
              <w:jc w:val="center"/>
              <w:rPr>
                <w:sz w:val="24"/>
              </w:rPr>
            </w:pPr>
            <w:r>
              <w:rPr>
                <w:sz w:val="24"/>
              </w:rPr>
              <w:t>12262</w:t>
            </w:r>
          </w:p>
        </w:tc>
        <w:tc>
          <w:tcPr>
            <w:tcW w:w="1116" w:type="dxa"/>
            <w:tcBorders>
              <w:top w:val="single" w:sz="8" w:space="0" w:color="000000"/>
              <w:left w:val="single" w:sz="8" w:space="0" w:color="000000"/>
              <w:bottom w:val="single" w:sz="8" w:space="0" w:color="000000"/>
            </w:tcBorders>
          </w:tcPr>
          <w:p>
            <w:pPr>
              <w:pStyle w:val="TableParagraph"/>
              <w:spacing w:before="131"/>
              <w:ind w:left="261"/>
              <w:rPr>
                <w:sz w:val="24"/>
              </w:rPr>
            </w:pPr>
            <w:r>
              <w:rPr>
                <w:sz w:val="24"/>
              </w:rPr>
              <w:t>14789</w:t>
            </w:r>
          </w:p>
        </w:tc>
      </w:tr>
      <w:tr>
        <w:trPr>
          <w:trHeight w:val="566" w:hRule="atLeast"/>
        </w:trPr>
        <w:tc>
          <w:tcPr>
            <w:tcW w:w="851" w:type="dxa"/>
            <w:vMerge/>
            <w:tcBorders>
              <w:top w:val="nil"/>
              <w:bottom w:val="nil"/>
              <w:right w:val="single" w:sz="8" w:space="0" w:color="000000"/>
            </w:tcBorders>
          </w:tcPr>
          <w:p>
            <w:pPr>
              <w:rPr>
                <w:sz w:val="2"/>
                <w:szCs w:val="2"/>
              </w:rPr>
            </w:pPr>
          </w:p>
        </w:tc>
        <w:tc>
          <w:tcPr>
            <w:tcW w:w="852" w:type="dxa"/>
            <w:vMerge/>
            <w:tcBorders>
              <w:top w:val="nil"/>
              <w:left w:val="single" w:sz="8" w:space="0" w:color="000000"/>
              <w:bottom w:val="nil"/>
              <w:right w:val="single" w:sz="8" w:space="0" w:color="000000"/>
            </w:tcBorders>
          </w:tcPr>
          <w:p>
            <w:pPr>
              <w:rPr>
                <w:sz w:val="2"/>
                <w:szCs w:val="2"/>
              </w:rPr>
            </w:pPr>
          </w:p>
        </w:tc>
        <w:tc>
          <w:tcPr>
            <w:tcW w:w="425" w:type="dxa"/>
            <w:vMerge/>
            <w:tcBorders>
              <w:top w:val="nil"/>
              <w:left w:val="single" w:sz="8" w:space="0" w:color="000000"/>
              <w:bottom w:val="single" w:sz="8" w:space="0" w:color="000000"/>
              <w:right w:val="single" w:sz="8" w:space="0" w:color="000000"/>
            </w:tcBorders>
          </w:tcPr>
          <w:p>
            <w:pPr>
              <w:rPr>
                <w:sz w:val="2"/>
                <w:szCs w:val="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129"/>
              <w:ind w:left="351"/>
              <w:rPr>
                <w:sz w:val="24"/>
              </w:rPr>
            </w:pPr>
            <w:r>
              <w:rPr>
                <w:sz w:val="24"/>
              </w:rPr>
              <w:t>其中：年生均财政专项经费</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129"/>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129"/>
              <w:ind w:left="98" w:right="69"/>
              <w:jc w:val="center"/>
              <w:rPr>
                <w:sz w:val="24"/>
              </w:rPr>
            </w:pPr>
            <w:r>
              <w:rPr>
                <w:sz w:val="24"/>
              </w:rPr>
              <w:t>2084</w:t>
            </w:r>
          </w:p>
        </w:tc>
        <w:tc>
          <w:tcPr>
            <w:tcW w:w="1116" w:type="dxa"/>
            <w:tcBorders>
              <w:top w:val="single" w:sz="8" w:space="0" w:color="000000"/>
              <w:left w:val="single" w:sz="8" w:space="0" w:color="000000"/>
              <w:bottom w:val="single" w:sz="8" w:space="0" w:color="000000"/>
            </w:tcBorders>
          </w:tcPr>
          <w:p>
            <w:pPr>
              <w:pStyle w:val="TableParagraph"/>
              <w:spacing w:before="129"/>
              <w:ind w:right="167"/>
              <w:jc w:val="right"/>
              <w:rPr>
                <w:sz w:val="24"/>
              </w:rPr>
            </w:pPr>
            <w:r>
              <w:rPr>
                <w:sz w:val="24"/>
              </w:rPr>
              <w:t>3200.6</w:t>
            </w:r>
          </w:p>
        </w:tc>
      </w:tr>
      <w:tr>
        <w:trPr>
          <w:trHeight w:val="567" w:hRule="atLeast"/>
        </w:trPr>
        <w:tc>
          <w:tcPr>
            <w:tcW w:w="851" w:type="dxa"/>
            <w:tcBorders>
              <w:top w:val="nil"/>
              <w:bottom w:val="nil"/>
              <w:right w:val="single" w:sz="8" w:space="0" w:color="000000"/>
            </w:tcBorders>
          </w:tcPr>
          <w:p>
            <w:pPr>
              <w:pStyle w:val="TableParagraph"/>
              <w:rPr>
                <w:rFonts w:ascii="Times New Roman"/>
                <w:sz w:val="22"/>
              </w:rPr>
            </w:pPr>
          </w:p>
        </w:tc>
        <w:tc>
          <w:tcPr>
            <w:tcW w:w="852" w:type="dxa"/>
            <w:tcBorders>
              <w:top w:val="nil"/>
              <w:left w:val="single" w:sz="8" w:space="0" w:color="000000"/>
              <w:bottom w:val="nil"/>
              <w:right w:val="single" w:sz="8" w:space="0" w:color="000000"/>
            </w:tcBorders>
          </w:tcPr>
          <w:p>
            <w:pPr>
              <w:pStyle w:val="TableParagraph"/>
              <w:rPr>
                <w:rFonts w:ascii="Times New Roman"/>
                <w:sz w:val="22"/>
              </w:rPr>
            </w:pPr>
          </w:p>
        </w:tc>
        <w:tc>
          <w:tcPr>
            <w:tcW w:w="425" w:type="dxa"/>
            <w:tcBorders>
              <w:top w:val="single" w:sz="8" w:space="0" w:color="000000"/>
              <w:left w:val="single" w:sz="8" w:space="0" w:color="000000"/>
              <w:bottom w:val="nil"/>
              <w:right w:val="single" w:sz="8" w:space="0" w:color="000000"/>
            </w:tcBorders>
          </w:tcPr>
          <w:p>
            <w:pPr>
              <w:pStyle w:val="TableParagraph"/>
              <w:rPr>
                <w:rFonts w:ascii="Times New Roman"/>
                <w:sz w:val="2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130"/>
              <w:ind w:left="111"/>
              <w:rPr>
                <w:sz w:val="24"/>
              </w:rPr>
            </w:pPr>
            <w:r>
              <w:rPr>
                <w:sz w:val="24"/>
              </w:rPr>
              <w:t>教职员工额定编制数</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130"/>
              <w:ind w:left="26"/>
              <w:jc w:val="center"/>
              <w:rPr>
                <w:sz w:val="24"/>
              </w:rPr>
            </w:pPr>
            <w:r>
              <w:rPr>
                <w:sz w:val="24"/>
              </w:rPr>
              <w:t>人</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130"/>
              <w:ind w:left="98" w:right="69"/>
              <w:jc w:val="center"/>
              <w:rPr>
                <w:sz w:val="24"/>
              </w:rPr>
            </w:pPr>
            <w:r>
              <w:rPr>
                <w:sz w:val="24"/>
              </w:rPr>
              <w:t>870</w:t>
            </w:r>
          </w:p>
        </w:tc>
        <w:tc>
          <w:tcPr>
            <w:tcW w:w="1116" w:type="dxa"/>
            <w:tcBorders>
              <w:top w:val="single" w:sz="8" w:space="0" w:color="000000"/>
              <w:left w:val="single" w:sz="8" w:space="0" w:color="000000"/>
              <w:bottom w:val="single" w:sz="8" w:space="0" w:color="000000"/>
            </w:tcBorders>
          </w:tcPr>
          <w:p>
            <w:pPr>
              <w:pStyle w:val="TableParagraph"/>
              <w:spacing w:before="130"/>
              <w:ind w:left="381"/>
              <w:rPr>
                <w:sz w:val="24"/>
              </w:rPr>
            </w:pPr>
            <w:r>
              <w:rPr>
                <w:sz w:val="24"/>
              </w:rPr>
              <w:t>870</w:t>
            </w:r>
          </w:p>
        </w:tc>
      </w:tr>
      <w:tr>
        <w:trPr>
          <w:trHeight w:val="567" w:hRule="atLeast"/>
        </w:trPr>
        <w:tc>
          <w:tcPr>
            <w:tcW w:w="851" w:type="dxa"/>
            <w:tcBorders>
              <w:top w:val="nil"/>
              <w:bottom w:val="nil"/>
              <w:right w:val="single" w:sz="8" w:space="0" w:color="000000"/>
            </w:tcBorders>
          </w:tcPr>
          <w:p>
            <w:pPr>
              <w:pStyle w:val="TableParagraph"/>
              <w:rPr>
                <w:rFonts w:ascii="Times New Roman"/>
                <w:sz w:val="22"/>
              </w:rPr>
            </w:pPr>
          </w:p>
        </w:tc>
        <w:tc>
          <w:tcPr>
            <w:tcW w:w="852" w:type="dxa"/>
            <w:tcBorders>
              <w:top w:val="nil"/>
              <w:left w:val="single" w:sz="8" w:space="0" w:color="000000"/>
              <w:bottom w:val="nil"/>
              <w:right w:val="single" w:sz="8" w:space="0" w:color="000000"/>
            </w:tcBorders>
          </w:tcPr>
          <w:p>
            <w:pPr>
              <w:pStyle w:val="TableParagraph"/>
              <w:rPr>
                <w:rFonts w:ascii="Times New Roman"/>
                <w:sz w:val="22"/>
              </w:rPr>
            </w:pPr>
          </w:p>
        </w:tc>
        <w:tc>
          <w:tcPr>
            <w:tcW w:w="425" w:type="dxa"/>
            <w:tcBorders>
              <w:top w:val="nil"/>
              <w:left w:val="single" w:sz="8" w:space="0" w:color="000000"/>
              <w:bottom w:val="nil"/>
              <w:right w:val="single" w:sz="8" w:space="0" w:color="000000"/>
            </w:tcBorders>
          </w:tcPr>
          <w:p>
            <w:pPr>
              <w:pStyle w:val="TableParagraph"/>
              <w:spacing w:before="129"/>
              <w:ind w:left="25"/>
              <w:jc w:val="center"/>
              <w:rPr>
                <w:sz w:val="24"/>
              </w:rPr>
            </w:pPr>
            <w:r>
              <w:rPr>
                <w:sz w:val="24"/>
              </w:rPr>
              <w:t>2</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129"/>
              <w:ind w:left="111"/>
              <w:rPr>
                <w:sz w:val="24"/>
              </w:rPr>
            </w:pPr>
            <w:r>
              <w:rPr>
                <w:sz w:val="24"/>
              </w:rPr>
              <w:t>在岗教职员工总数</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129"/>
              <w:ind w:left="26"/>
              <w:jc w:val="center"/>
              <w:rPr>
                <w:sz w:val="24"/>
              </w:rPr>
            </w:pPr>
            <w:r>
              <w:rPr>
                <w:sz w:val="24"/>
              </w:rPr>
              <w:t>人</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129"/>
              <w:ind w:left="98" w:right="69"/>
              <w:jc w:val="center"/>
              <w:rPr>
                <w:sz w:val="24"/>
              </w:rPr>
            </w:pPr>
            <w:r>
              <w:rPr>
                <w:sz w:val="24"/>
              </w:rPr>
              <w:t>573</w:t>
            </w:r>
          </w:p>
        </w:tc>
        <w:tc>
          <w:tcPr>
            <w:tcW w:w="1116" w:type="dxa"/>
            <w:tcBorders>
              <w:top w:val="single" w:sz="8" w:space="0" w:color="000000"/>
              <w:left w:val="single" w:sz="8" w:space="0" w:color="000000"/>
              <w:bottom w:val="single" w:sz="8" w:space="0" w:color="000000"/>
            </w:tcBorders>
          </w:tcPr>
          <w:p>
            <w:pPr>
              <w:pStyle w:val="TableParagraph"/>
              <w:spacing w:before="129"/>
              <w:ind w:left="381"/>
              <w:rPr>
                <w:sz w:val="24"/>
              </w:rPr>
            </w:pPr>
            <w:r>
              <w:rPr>
                <w:sz w:val="24"/>
              </w:rPr>
              <w:t>577</w:t>
            </w:r>
          </w:p>
        </w:tc>
      </w:tr>
      <w:tr>
        <w:trPr>
          <w:trHeight w:val="567" w:hRule="atLeast"/>
        </w:trPr>
        <w:tc>
          <w:tcPr>
            <w:tcW w:w="851" w:type="dxa"/>
            <w:vMerge w:val="restart"/>
            <w:tcBorders>
              <w:top w:val="nil"/>
              <w:bottom w:val="nil"/>
              <w:right w:val="single" w:sz="8" w:space="0" w:color="000000"/>
            </w:tcBorders>
          </w:tcPr>
          <w:p>
            <w:pPr>
              <w:pStyle w:val="TableParagraph"/>
              <w:rPr>
                <w:rFonts w:ascii="Times New Roman"/>
                <w:sz w:val="22"/>
              </w:rPr>
            </w:pPr>
          </w:p>
        </w:tc>
        <w:tc>
          <w:tcPr>
            <w:tcW w:w="852" w:type="dxa"/>
            <w:vMerge w:val="restart"/>
            <w:tcBorders>
              <w:top w:val="nil"/>
              <w:left w:val="single" w:sz="8" w:space="0" w:color="000000"/>
              <w:bottom w:val="nil"/>
              <w:right w:val="single" w:sz="8" w:space="0" w:color="000000"/>
            </w:tcBorders>
          </w:tcPr>
          <w:p>
            <w:pPr>
              <w:pStyle w:val="TableParagraph"/>
              <w:spacing w:before="9"/>
              <w:rPr>
                <w:rFonts w:ascii="黑体"/>
                <w:b/>
                <w:sz w:val="28"/>
              </w:rPr>
            </w:pPr>
          </w:p>
          <w:p>
            <w:pPr>
              <w:pStyle w:val="TableParagraph"/>
              <w:ind w:left="191"/>
              <w:rPr>
                <w:sz w:val="24"/>
              </w:rPr>
            </w:pPr>
            <w:r>
              <w:rPr>
                <w:sz w:val="24"/>
              </w:rPr>
              <w:t>湖南</w:t>
            </w:r>
          </w:p>
        </w:tc>
        <w:tc>
          <w:tcPr>
            <w:tcW w:w="425" w:type="dxa"/>
            <w:tcBorders>
              <w:top w:val="nil"/>
              <w:left w:val="single" w:sz="8" w:space="0" w:color="000000"/>
              <w:bottom w:val="single" w:sz="8" w:space="0" w:color="000000"/>
              <w:right w:val="single" w:sz="8" w:space="0" w:color="000000"/>
            </w:tcBorders>
          </w:tcPr>
          <w:p>
            <w:pPr>
              <w:pStyle w:val="TableParagraph"/>
              <w:rPr>
                <w:rFonts w:ascii="Times New Roman"/>
                <w:sz w:val="2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130"/>
              <w:ind w:left="351"/>
              <w:rPr>
                <w:sz w:val="24"/>
              </w:rPr>
            </w:pPr>
            <w:r>
              <w:rPr>
                <w:sz w:val="24"/>
              </w:rPr>
              <w:t>其中：专任教师总数</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130"/>
              <w:ind w:left="26"/>
              <w:jc w:val="center"/>
              <w:rPr>
                <w:sz w:val="24"/>
              </w:rPr>
            </w:pPr>
            <w:r>
              <w:rPr>
                <w:sz w:val="24"/>
              </w:rPr>
              <w:t>人</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130"/>
              <w:ind w:left="98" w:right="69"/>
              <w:jc w:val="center"/>
              <w:rPr>
                <w:sz w:val="24"/>
              </w:rPr>
            </w:pPr>
            <w:r>
              <w:rPr>
                <w:sz w:val="24"/>
              </w:rPr>
              <w:t>382</w:t>
            </w:r>
          </w:p>
        </w:tc>
        <w:tc>
          <w:tcPr>
            <w:tcW w:w="1116" w:type="dxa"/>
            <w:tcBorders>
              <w:top w:val="single" w:sz="8" w:space="0" w:color="000000"/>
              <w:left w:val="single" w:sz="8" w:space="0" w:color="000000"/>
              <w:bottom w:val="single" w:sz="8" w:space="0" w:color="000000"/>
            </w:tcBorders>
          </w:tcPr>
          <w:p>
            <w:pPr>
              <w:pStyle w:val="TableParagraph"/>
              <w:spacing w:before="130"/>
              <w:ind w:left="381"/>
              <w:rPr>
                <w:sz w:val="24"/>
              </w:rPr>
            </w:pPr>
            <w:r>
              <w:rPr>
                <w:sz w:val="24"/>
              </w:rPr>
              <w:t>393</w:t>
            </w:r>
          </w:p>
        </w:tc>
      </w:tr>
      <w:tr>
        <w:trPr>
          <w:trHeight w:val="158" w:hRule="atLeast"/>
        </w:trPr>
        <w:tc>
          <w:tcPr>
            <w:tcW w:w="851" w:type="dxa"/>
            <w:vMerge/>
            <w:tcBorders>
              <w:top w:val="nil"/>
              <w:bottom w:val="nil"/>
              <w:right w:val="single" w:sz="8" w:space="0" w:color="000000"/>
            </w:tcBorders>
          </w:tcPr>
          <w:p>
            <w:pPr>
              <w:rPr>
                <w:sz w:val="2"/>
                <w:szCs w:val="2"/>
              </w:rPr>
            </w:pPr>
          </w:p>
        </w:tc>
        <w:tc>
          <w:tcPr>
            <w:tcW w:w="852" w:type="dxa"/>
            <w:vMerge/>
            <w:tcBorders>
              <w:top w:val="nil"/>
              <w:left w:val="single" w:sz="8" w:space="0" w:color="000000"/>
              <w:bottom w:val="nil"/>
              <w:right w:val="single" w:sz="8" w:space="0" w:color="000000"/>
            </w:tcBorders>
          </w:tcPr>
          <w:p>
            <w:pPr>
              <w:rPr>
                <w:sz w:val="2"/>
                <w:szCs w:val="2"/>
              </w:rPr>
            </w:pPr>
          </w:p>
        </w:tc>
        <w:tc>
          <w:tcPr>
            <w:tcW w:w="42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1"/>
              <w:ind w:left="155"/>
              <w:rPr>
                <w:sz w:val="24"/>
              </w:rPr>
            </w:pPr>
            <w:r>
              <w:rPr>
                <w:sz w:val="24"/>
              </w:rPr>
              <w:t>3</w:t>
            </w:r>
          </w:p>
        </w:tc>
        <w:tc>
          <w:tcPr>
            <w:tcW w:w="383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1"/>
              <w:ind w:left="111"/>
              <w:rPr>
                <w:sz w:val="24"/>
              </w:rPr>
            </w:pPr>
            <w:r>
              <w:rPr>
                <w:sz w:val="24"/>
              </w:rPr>
              <w:t>企业提供的校内实践教学设备值</w:t>
            </w:r>
          </w:p>
        </w:tc>
        <w:tc>
          <w:tcPr>
            <w:tcW w:w="99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1"/>
              <w:ind w:left="261"/>
              <w:rPr>
                <w:sz w:val="24"/>
              </w:rPr>
            </w:pPr>
            <w:r>
              <w:rPr>
                <w:sz w:val="24"/>
              </w:rPr>
              <w:t>万元</w:t>
            </w:r>
          </w:p>
        </w:tc>
        <w:tc>
          <w:tcPr>
            <w:tcW w:w="109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1"/>
              <w:ind w:left="374"/>
              <w:rPr>
                <w:sz w:val="24"/>
              </w:rPr>
            </w:pPr>
            <w:r>
              <w:rPr>
                <w:sz w:val="24"/>
              </w:rPr>
              <w:t>734</w:t>
            </w:r>
          </w:p>
        </w:tc>
        <w:tc>
          <w:tcPr>
            <w:tcW w:w="1116" w:type="dxa"/>
            <w:vMerge w:val="restart"/>
            <w:tcBorders>
              <w:top w:val="single" w:sz="8" w:space="0" w:color="000000"/>
              <w:left w:val="single" w:sz="8" w:space="0" w:color="000000"/>
              <w:bottom w:val="single" w:sz="8" w:space="0" w:color="000000"/>
            </w:tcBorders>
          </w:tcPr>
          <w:p>
            <w:pPr>
              <w:pStyle w:val="TableParagraph"/>
              <w:spacing w:before="131"/>
              <w:ind w:left="381"/>
              <w:rPr>
                <w:sz w:val="24"/>
              </w:rPr>
            </w:pPr>
            <w:r>
              <w:rPr>
                <w:sz w:val="24"/>
              </w:rPr>
              <w:t>926</w:t>
            </w:r>
          </w:p>
        </w:tc>
      </w:tr>
      <w:tr>
        <w:trPr>
          <w:trHeight w:val="388" w:hRule="atLeast"/>
        </w:trPr>
        <w:tc>
          <w:tcPr>
            <w:tcW w:w="851" w:type="dxa"/>
            <w:tcBorders>
              <w:top w:val="nil"/>
              <w:bottom w:val="nil"/>
              <w:right w:val="single" w:sz="8" w:space="0" w:color="000000"/>
            </w:tcBorders>
          </w:tcPr>
          <w:p>
            <w:pPr>
              <w:pStyle w:val="TableParagraph"/>
              <w:rPr>
                <w:rFonts w:ascii="Times New Roman"/>
                <w:sz w:val="22"/>
              </w:rPr>
            </w:pPr>
          </w:p>
        </w:tc>
        <w:tc>
          <w:tcPr>
            <w:tcW w:w="852" w:type="dxa"/>
            <w:tcBorders>
              <w:top w:val="nil"/>
              <w:left w:val="single" w:sz="8" w:space="0" w:color="000000"/>
              <w:bottom w:val="nil"/>
              <w:right w:val="single" w:sz="8" w:space="0" w:color="000000"/>
            </w:tcBorders>
          </w:tcPr>
          <w:p>
            <w:pPr>
              <w:pStyle w:val="TableParagraph"/>
              <w:spacing w:line="298" w:lineRule="exact" w:before="70"/>
              <w:ind w:left="169" w:right="139"/>
              <w:jc w:val="center"/>
              <w:rPr>
                <w:sz w:val="24"/>
              </w:rPr>
            </w:pPr>
            <w:r>
              <w:rPr>
                <w:sz w:val="24"/>
              </w:rPr>
              <w:t>化工</w:t>
            </w:r>
          </w:p>
        </w:tc>
        <w:tc>
          <w:tcPr>
            <w:tcW w:w="425" w:type="dxa"/>
            <w:vMerge/>
            <w:tcBorders>
              <w:top w:val="nil"/>
              <w:left w:val="single" w:sz="8" w:space="0" w:color="000000"/>
              <w:bottom w:val="single" w:sz="8" w:space="0" w:color="000000"/>
              <w:right w:val="single" w:sz="8" w:space="0" w:color="000000"/>
            </w:tcBorders>
          </w:tcPr>
          <w:p>
            <w:pPr>
              <w:rPr>
                <w:sz w:val="2"/>
                <w:szCs w:val="2"/>
              </w:rPr>
            </w:pPr>
          </w:p>
        </w:tc>
        <w:tc>
          <w:tcPr>
            <w:tcW w:w="3832" w:type="dxa"/>
            <w:vMerge/>
            <w:tcBorders>
              <w:top w:val="nil"/>
              <w:left w:val="single" w:sz="8" w:space="0" w:color="000000"/>
              <w:bottom w:val="single" w:sz="8" w:space="0" w:color="000000"/>
              <w:right w:val="single" w:sz="8" w:space="0" w:color="000000"/>
            </w:tcBorders>
          </w:tcPr>
          <w:p>
            <w:pPr>
              <w:rPr>
                <w:sz w:val="2"/>
                <w:szCs w:val="2"/>
              </w:rPr>
            </w:pPr>
          </w:p>
        </w:tc>
        <w:tc>
          <w:tcPr>
            <w:tcW w:w="996" w:type="dxa"/>
            <w:vMerge/>
            <w:tcBorders>
              <w:top w:val="nil"/>
              <w:left w:val="single" w:sz="8" w:space="0" w:color="000000"/>
              <w:bottom w:val="single" w:sz="8" w:space="0" w:color="000000"/>
              <w:right w:val="single" w:sz="8" w:space="0" w:color="000000"/>
            </w:tcBorders>
          </w:tcPr>
          <w:p>
            <w:pPr>
              <w:rPr>
                <w:sz w:val="2"/>
                <w:szCs w:val="2"/>
              </w:rPr>
            </w:pPr>
          </w:p>
        </w:tc>
        <w:tc>
          <w:tcPr>
            <w:tcW w:w="1099" w:type="dxa"/>
            <w:vMerge/>
            <w:tcBorders>
              <w:top w:val="nil"/>
              <w:left w:val="single" w:sz="8" w:space="0" w:color="000000"/>
              <w:bottom w:val="single" w:sz="8" w:space="0" w:color="000000"/>
              <w:right w:val="single" w:sz="8" w:space="0" w:color="000000"/>
            </w:tcBorders>
          </w:tcPr>
          <w:p>
            <w:pPr>
              <w:rPr>
                <w:sz w:val="2"/>
                <w:szCs w:val="2"/>
              </w:rPr>
            </w:pPr>
          </w:p>
        </w:tc>
        <w:tc>
          <w:tcPr>
            <w:tcW w:w="1116" w:type="dxa"/>
            <w:vMerge/>
            <w:tcBorders>
              <w:top w:val="nil"/>
              <w:left w:val="single" w:sz="8" w:space="0" w:color="000000"/>
              <w:bottom w:val="single" w:sz="8" w:space="0" w:color="000000"/>
            </w:tcBorders>
          </w:tcPr>
          <w:p>
            <w:pPr>
              <w:rPr>
                <w:sz w:val="2"/>
                <w:szCs w:val="2"/>
              </w:rPr>
            </w:pPr>
          </w:p>
        </w:tc>
      </w:tr>
      <w:tr>
        <w:trPr>
          <w:trHeight w:val="421" w:hRule="atLeast"/>
        </w:trPr>
        <w:tc>
          <w:tcPr>
            <w:tcW w:w="851" w:type="dxa"/>
            <w:tcBorders>
              <w:top w:val="nil"/>
              <w:bottom w:val="nil"/>
              <w:right w:val="single" w:sz="8" w:space="0" w:color="000000"/>
            </w:tcBorders>
          </w:tcPr>
          <w:p>
            <w:pPr>
              <w:pStyle w:val="TableParagraph"/>
              <w:spacing w:line="271" w:lineRule="exact" w:before="129"/>
              <w:ind w:left="125"/>
              <w:rPr>
                <w:sz w:val="24"/>
              </w:rPr>
            </w:pPr>
            <w:r>
              <w:rPr>
                <w:sz w:val="24"/>
              </w:rPr>
              <w:t>13043</w:t>
            </w:r>
          </w:p>
        </w:tc>
        <w:tc>
          <w:tcPr>
            <w:tcW w:w="852" w:type="dxa"/>
            <w:tcBorders>
              <w:top w:val="nil"/>
              <w:left w:val="single" w:sz="8" w:space="0" w:color="000000"/>
              <w:bottom w:val="nil"/>
              <w:right w:val="single" w:sz="8" w:space="0" w:color="000000"/>
            </w:tcBorders>
          </w:tcPr>
          <w:p>
            <w:pPr>
              <w:pStyle w:val="TableParagraph"/>
              <w:spacing w:line="271" w:lineRule="exact" w:before="129"/>
              <w:ind w:left="169" w:right="139"/>
              <w:jc w:val="center"/>
              <w:rPr>
                <w:sz w:val="24"/>
              </w:rPr>
            </w:pPr>
            <w:r>
              <w:rPr>
                <w:sz w:val="24"/>
              </w:rPr>
              <w:t>职业</w:t>
            </w:r>
          </w:p>
        </w:tc>
        <w:tc>
          <w:tcPr>
            <w:tcW w:w="425" w:type="dxa"/>
            <w:tcBorders>
              <w:top w:val="single" w:sz="8" w:space="0" w:color="000000"/>
              <w:left w:val="single" w:sz="8" w:space="0" w:color="000000"/>
              <w:bottom w:val="nil"/>
              <w:right w:val="single" w:sz="8" w:space="0" w:color="000000"/>
            </w:tcBorders>
          </w:tcPr>
          <w:p>
            <w:pPr>
              <w:pStyle w:val="TableParagraph"/>
              <w:rPr>
                <w:rFonts w:ascii="Times New Roman"/>
                <w:sz w:val="22"/>
              </w:rPr>
            </w:pPr>
          </w:p>
        </w:tc>
        <w:tc>
          <w:tcPr>
            <w:tcW w:w="383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111"/>
              <w:rPr>
                <w:sz w:val="24"/>
              </w:rPr>
            </w:pPr>
            <w:r>
              <w:rPr>
                <w:sz w:val="24"/>
              </w:rPr>
              <w:t>生均企业实习经费补贴</w:t>
            </w:r>
          </w:p>
        </w:tc>
        <w:tc>
          <w:tcPr>
            <w:tcW w:w="99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26"/>
              <w:jc w:val="center"/>
              <w:rPr>
                <w:sz w:val="24"/>
              </w:rPr>
            </w:pPr>
            <w:r>
              <w:rPr>
                <w:sz w:val="24"/>
              </w:rPr>
              <w:t>元</w:t>
            </w:r>
          </w:p>
        </w:tc>
        <w:tc>
          <w:tcPr>
            <w:tcW w:w="109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98" w:right="69"/>
              <w:jc w:val="center"/>
              <w:rPr>
                <w:sz w:val="24"/>
              </w:rPr>
            </w:pPr>
            <w:r>
              <w:rPr>
                <w:sz w:val="24"/>
              </w:rPr>
              <w:t>40</w:t>
            </w:r>
          </w:p>
        </w:tc>
        <w:tc>
          <w:tcPr>
            <w:tcW w:w="1116" w:type="dxa"/>
            <w:vMerge w:val="restart"/>
            <w:tcBorders>
              <w:top w:val="single" w:sz="8" w:space="0" w:color="000000"/>
              <w:left w:val="single" w:sz="8" w:space="0" w:color="000000"/>
              <w:bottom w:val="single" w:sz="8" w:space="0" w:color="000000"/>
            </w:tcBorders>
          </w:tcPr>
          <w:p>
            <w:pPr>
              <w:pStyle w:val="TableParagraph"/>
              <w:spacing w:before="129"/>
              <w:ind w:left="381"/>
              <w:rPr>
                <w:sz w:val="24"/>
              </w:rPr>
            </w:pPr>
            <w:r>
              <w:rPr>
                <w:sz w:val="24"/>
              </w:rPr>
              <w:t>300</w:t>
            </w:r>
          </w:p>
        </w:tc>
      </w:tr>
      <w:tr>
        <w:trPr>
          <w:trHeight w:val="125" w:hRule="atLeast"/>
        </w:trPr>
        <w:tc>
          <w:tcPr>
            <w:tcW w:w="851" w:type="dxa"/>
            <w:vMerge w:val="restart"/>
            <w:tcBorders>
              <w:top w:val="nil"/>
              <w:bottom w:val="nil"/>
              <w:right w:val="single" w:sz="8" w:space="0" w:color="000000"/>
            </w:tcBorders>
          </w:tcPr>
          <w:p>
            <w:pPr>
              <w:pStyle w:val="TableParagraph"/>
              <w:rPr>
                <w:rFonts w:ascii="Times New Roman"/>
                <w:sz w:val="22"/>
              </w:rPr>
            </w:pPr>
          </w:p>
        </w:tc>
        <w:tc>
          <w:tcPr>
            <w:tcW w:w="852" w:type="dxa"/>
            <w:vMerge w:val="restart"/>
            <w:tcBorders>
              <w:top w:val="nil"/>
              <w:left w:val="single" w:sz="8" w:space="0" w:color="000000"/>
              <w:bottom w:val="nil"/>
              <w:right w:val="single" w:sz="8" w:space="0" w:color="000000"/>
            </w:tcBorders>
          </w:tcPr>
          <w:p>
            <w:pPr>
              <w:pStyle w:val="TableParagraph"/>
              <w:spacing w:before="156"/>
              <w:ind w:left="191"/>
              <w:rPr>
                <w:sz w:val="24"/>
              </w:rPr>
            </w:pPr>
            <w:r>
              <w:rPr>
                <w:sz w:val="24"/>
              </w:rPr>
              <w:t>技术</w:t>
            </w:r>
          </w:p>
        </w:tc>
        <w:tc>
          <w:tcPr>
            <w:tcW w:w="425" w:type="dxa"/>
            <w:vMerge w:val="restart"/>
            <w:tcBorders>
              <w:top w:val="nil"/>
              <w:left w:val="single" w:sz="8" w:space="0" w:color="000000"/>
              <w:bottom w:val="nil"/>
              <w:right w:val="single" w:sz="8" w:space="0" w:color="000000"/>
            </w:tcBorders>
          </w:tcPr>
          <w:p>
            <w:pPr>
              <w:pStyle w:val="TableParagraph"/>
              <w:spacing w:line="291" w:lineRule="exact"/>
              <w:ind w:left="155"/>
              <w:rPr>
                <w:sz w:val="24"/>
              </w:rPr>
            </w:pPr>
            <w:r>
              <w:rPr>
                <w:sz w:val="24"/>
              </w:rPr>
              <w:t>4</w:t>
            </w:r>
          </w:p>
        </w:tc>
        <w:tc>
          <w:tcPr>
            <w:tcW w:w="3832" w:type="dxa"/>
            <w:vMerge/>
            <w:tcBorders>
              <w:top w:val="nil"/>
              <w:left w:val="single" w:sz="8" w:space="0" w:color="000000"/>
              <w:bottom w:val="single" w:sz="8" w:space="0" w:color="000000"/>
              <w:right w:val="single" w:sz="8" w:space="0" w:color="000000"/>
            </w:tcBorders>
          </w:tcPr>
          <w:p>
            <w:pPr>
              <w:rPr>
                <w:sz w:val="2"/>
                <w:szCs w:val="2"/>
              </w:rPr>
            </w:pPr>
          </w:p>
        </w:tc>
        <w:tc>
          <w:tcPr>
            <w:tcW w:w="996" w:type="dxa"/>
            <w:vMerge/>
            <w:tcBorders>
              <w:top w:val="nil"/>
              <w:left w:val="single" w:sz="8" w:space="0" w:color="000000"/>
              <w:bottom w:val="single" w:sz="8" w:space="0" w:color="000000"/>
              <w:right w:val="single" w:sz="8" w:space="0" w:color="000000"/>
            </w:tcBorders>
          </w:tcPr>
          <w:p>
            <w:pPr>
              <w:rPr>
                <w:sz w:val="2"/>
                <w:szCs w:val="2"/>
              </w:rPr>
            </w:pPr>
          </w:p>
        </w:tc>
        <w:tc>
          <w:tcPr>
            <w:tcW w:w="1099" w:type="dxa"/>
            <w:vMerge/>
            <w:tcBorders>
              <w:top w:val="nil"/>
              <w:left w:val="single" w:sz="8" w:space="0" w:color="000000"/>
              <w:bottom w:val="single" w:sz="8" w:space="0" w:color="000000"/>
              <w:right w:val="single" w:sz="8" w:space="0" w:color="000000"/>
            </w:tcBorders>
          </w:tcPr>
          <w:p>
            <w:pPr>
              <w:rPr>
                <w:sz w:val="2"/>
                <w:szCs w:val="2"/>
              </w:rPr>
            </w:pPr>
          </w:p>
        </w:tc>
        <w:tc>
          <w:tcPr>
            <w:tcW w:w="1116" w:type="dxa"/>
            <w:vMerge/>
            <w:tcBorders>
              <w:top w:val="nil"/>
              <w:left w:val="single" w:sz="8" w:space="0" w:color="000000"/>
              <w:bottom w:val="single" w:sz="8" w:space="0" w:color="000000"/>
            </w:tcBorders>
          </w:tcPr>
          <w:p>
            <w:pPr>
              <w:rPr>
                <w:sz w:val="2"/>
                <w:szCs w:val="2"/>
              </w:rPr>
            </w:pPr>
          </w:p>
        </w:tc>
      </w:tr>
      <w:tr>
        <w:trPr>
          <w:trHeight w:val="388" w:hRule="atLeast"/>
        </w:trPr>
        <w:tc>
          <w:tcPr>
            <w:tcW w:w="851" w:type="dxa"/>
            <w:vMerge/>
            <w:tcBorders>
              <w:top w:val="nil"/>
              <w:bottom w:val="nil"/>
              <w:right w:val="single" w:sz="8" w:space="0" w:color="000000"/>
            </w:tcBorders>
          </w:tcPr>
          <w:p>
            <w:pPr>
              <w:rPr>
                <w:sz w:val="2"/>
                <w:szCs w:val="2"/>
              </w:rPr>
            </w:pPr>
          </w:p>
        </w:tc>
        <w:tc>
          <w:tcPr>
            <w:tcW w:w="852" w:type="dxa"/>
            <w:vMerge/>
            <w:tcBorders>
              <w:top w:val="nil"/>
              <w:left w:val="single" w:sz="8" w:space="0" w:color="000000"/>
              <w:bottom w:val="nil"/>
              <w:right w:val="single" w:sz="8" w:space="0" w:color="000000"/>
            </w:tcBorders>
          </w:tcPr>
          <w:p>
            <w:pPr>
              <w:rPr>
                <w:sz w:val="2"/>
                <w:szCs w:val="2"/>
              </w:rPr>
            </w:pPr>
          </w:p>
        </w:tc>
        <w:tc>
          <w:tcPr>
            <w:tcW w:w="425" w:type="dxa"/>
            <w:vMerge/>
            <w:tcBorders>
              <w:top w:val="nil"/>
              <w:left w:val="single" w:sz="8" w:space="0" w:color="000000"/>
              <w:bottom w:val="nil"/>
              <w:right w:val="single" w:sz="8" w:space="0" w:color="000000"/>
            </w:tcBorders>
          </w:tcPr>
          <w:p>
            <w:pPr>
              <w:rPr>
                <w:sz w:val="2"/>
                <w:szCs w:val="2"/>
              </w:rPr>
            </w:pPr>
          </w:p>
        </w:tc>
        <w:tc>
          <w:tcPr>
            <w:tcW w:w="383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0"/>
              <w:ind w:left="351"/>
              <w:rPr>
                <w:sz w:val="24"/>
              </w:rPr>
            </w:pPr>
            <w:r>
              <w:rPr>
                <w:sz w:val="24"/>
              </w:rPr>
              <w:t>其中：生均财政专项补贴</w:t>
            </w:r>
          </w:p>
        </w:tc>
        <w:tc>
          <w:tcPr>
            <w:tcW w:w="99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0"/>
              <w:ind w:left="26"/>
              <w:jc w:val="center"/>
              <w:rPr>
                <w:sz w:val="24"/>
              </w:rPr>
            </w:pPr>
            <w:r>
              <w:rPr>
                <w:sz w:val="24"/>
              </w:rPr>
              <w:t>元</w:t>
            </w:r>
          </w:p>
        </w:tc>
        <w:tc>
          <w:tcPr>
            <w:tcW w:w="109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0"/>
              <w:ind w:left="29"/>
              <w:jc w:val="center"/>
              <w:rPr>
                <w:sz w:val="24"/>
              </w:rPr>
            </w:pPr>
            <w:r>
              <w:rPr>
                <w:sz w:val="24"/>
              </w:rPr>
              <w:t>0</w:t>
            </w:r>
          </w:p>
        </w:tc>
        <w:tc>
          <w:tcPr>
            <w:tcW w:w="1116" w:type="dxa"/>
            <w:vMerge w:val="restart"/>
            <w:tcBorders>
              <w:top w:val="single" w:sz="8" w:space="0" w:color="000000"/>
              <w:left w:val="single" w:sz="8" w:space="0" w:color="000000"/>
              <w:bottom w:val="single" w:sz="8" w:space="0" w:color="000000"/>
            </w:tcBorders>
          </w:tcPr>
          <w:p>
            <w:pPr>
              <w:pStyle w:val="TableParagraph"/>
              <w:spacing w:before="130"/>
              <w:ind w:left="381"/>
              <w:rPr>
                <w:sz w:val="24"/>
              </w:rPr>
            </w:pPr>
            <w:r>
              <w:rPr>
                <w:sz w:val="24"/>
              </w:rPr>
              <w:t>100</w:t>
            </w:r>
          </w:p>
        </w:tc>
      </w:tr>
      <w:tr>
        <w:trPr>
          <w:trHeight w:val="158" w:hRule="atLeast"/>
        </w:trPr>
        <w:tc>
          <w:tcPr>
            <w:tcW w:w="851" w:type="dxa"/>
            <w:vMerge w:val="restart"/>
            <w:tcBorders>
              <w:top w:val="nil"/>
              <w:bottom w:val="nil"/>
              <w:right w:val="single" w:sz="8" w:space="0" w:color="000000"/>
            </w:tcBorders>
          </w:tcPr>
          <w:p>
            <w:pPr>
              <w:pStyle w:val="TableParagraph"/>
              <w:rPr>
                <w:rFonts w:ascii="Times New Roman"/>
                <w:sz w:val="22"/>
              </w:rPr>
            </w:pPr>
          </w:p>
        </w:tc>
        <w:tc>
          <w:tcPr>
            <w:tcW w:w="852" w:type="dxa"/>
            <w:vMerge w:val="restart"/>
            <w:tcBorders>
              <w:top w:val="nil"/>
              <w:left w:val="single" w:sz="8" w:space="0" w:color="000000"/>
              <w:bottom w:val="nil"/>
              <w:right w:val="single" w:sz="8" w:space="0" w:color="000000"/>
            </w:tcBorders>
          </w:tcPr>
          <w:p>
            <w:pPr>
              <w:pStyle w:val="TableParagraph"/>
              <w:spacing w:before="70"/>
              <w:ind w:left="191"/>
              <w:rPr>
                <w:sz w:val="24"/>
              </w:rPr>
            </w:pPr>
            <w:r>
              <w:rPr>
                <w:sz w:val="24"/>
              </w:rPr>
              <w:t>学院</w:t>
            </w:r>
          </w:p>
        </w:tc>
        <w:tc>
          <w:tcPr>
            <w:tcW w:w="425" w:type="dxa"/>
            <w:tcBorders>
              <w:top w:val="nil"/>
              <w:left w:val="single" w:sz="8" w:space="0" w:color="000000"/>
              <w:bottom w:val="single" w:sz="8" w:space="0" w:color="000000"/>
              <w:right w:val="single" w:sz="8" w:space="0" w:color="000000"/>
            </w:tcBorders>
          </w:tcPr>
          <w:p>
            <w:pPr>
              <w:pStyle w:val="TableParagraph"/>
              <w:rPr>
                <w:rFonts w:ascii="Times New Roman"/>
                <w:sz w:val="10"/>
              </w:rPr>
            </w:pPr>
          </w:p>
        </w:tc>
        <w:tc>
          <w:tcPr>
            <w:tcW w:w="3832" w:type="dxa"/>
            <w:vMerge/>
            <w:tcBorders>
              <w:top w:val="nil"/>
              <w:left w:val="single" w:sz="8" w:space="0" w:color="000000"/>
              <w:bottom w:val="single" w:sz="8" w:space="0" w:color="000000"/>
              <w:right w:val="single" w:sz="8" w:space="0" w:color="000000"/>
            </w:tcBorders>
          </w:tcPr>
          <w:p>
            <w:pPr>
              <w:rPr>
                <w:sz w:val="2"/>
                <w:szCs w:val="2"/>
              </w:rPr>
            </w:pPr>
          </w:p>
        </w:tc>
        <w:tc>
          <w:tcPr>
            <w:tcW w:w="996" w:type="dxa"/>
            <w:vMerge/>
            <w:tcBorders>
              <w:top w:val="nil"/>
              <w:left w:val="single" w:sz="8" w:space="0" w:color="000000"/>
              <w:bottom w:val="single" w:sz="8" w:space="0" w:color="000000"/>
              <w:right w:val="single" w:sz="8" w:space="0" w:color="000000"/>
            </w:tcBorders>
          </w:tcPr>
          <w:p>
            <w:pPr>
              <w:rPr>
                <w:sz w:val="2"/>
                <w:szCs w:val="2"/>
              </w:rPr>
            </w:pPr>
          </w:p>
        </w:tc>
        <w:tc>
          <w:tcPr>
            <w:tcW w:w="1099" w:type="dxa"/>
            <w:vMerge/>
            <w:tcBorders>
              <w:top w:val="nil"/>
              <w:left w:val="single" w:sz="8" w:space="0" w:color="000000"/>
              <w:bottom w:val="single" w:sz="8" w:space="0" w:color="000000"/>
              <w:right w:val="single" w:sz="8" w:space="0" w:color="000000"/>
            </w:tcBorders>
          </w:tcPr>
          <w:p>
            <w:pPr>
              <w:rPr>
                <w:sz w:val="2"/>
                <w:szCs w:val="2"/>
              </w:rPr>
            </w:pPr>
          </w:p>
        </w:tc>
        <w:tc>
          <w:tcPr>
            <w:tcW w:w="1116" w:type="dxa"/>
            <w:vMerge/>
            <w:tcBorders>
              <w:top w:val="nil"/>
              <w:left w:val="single" w:sz="8" w:space="0" w:color="000000"/>
              <w:bottom w:val="single" w:sz="8" w:space="0" w:color="000000"/>
            </w:tcBorders>
          </w:tcPr>
          <w:p>
            <w:pPr>
              <w:rPr>
                <w:sz w:val="2"/>
                <w:szCs w:val="2"/>
              </w:rPr>
            </w:pPr>
          </w:p>
        </w:tc>
      </w:tr>
      <w:tr>
        <w:trPr>
          <w:trHeight w:val="300" w:hRule="atLeast"/>
        </w:trPr>
        <w:tc>
          <w:tcPr>
            <w:tcW w:w="851" w:type="dxa"/>
            <w:vMerge/>
            <w:tcBorders>
              <w:top w:val="nil"/>
              <w:bottom w:val="nil"/>
              <w:right w:val="single" w:sz="8" w:space="0" w:color="000000"/>
            </w:tcBorders>
          </w:tcPr>
          <w:p>
            <w:pPr>
              <w:rPr>
                <w:sz w:val="2"/>
                <w:szCs w:val="2"/>
              </w:rPr>
            </w:pPr>
          </w:p>
        </w:tc>
        <w:tc>
          <w:tcPr>
            <w:tcW w:w="852" w:type="dxa"/>
            <w:vMerge/>
            <w:tcBorders>
              <w:top w:val="nil"/>
              <w:left w:val="single" w:sz="8" w:space="0" w:color="000000"/>
              <w:bottom w:val="nil"/>
              <w:right w:val="single" w:sz="8" w:space="0" w:color="000000"/>
            </w:tcBorders>
          </w:tcPr>
          <w:p>
            <w:pPr>
              <w:rPr>
                <w:sz w:val="2"/>
                <w:szCs w:val="2"/>
              </w:rPr>
            </w:pPr>
          </w:p>
        </w:tc>
        <w:tc>
          <w:tcPr>
            <w:tcW w:w="425" w:type="dxa"/>
            <w:tcBorders>
              <w:top w:val="single" w:sz="8" w:space="0" w:color="000000"/>
              <w:left w:val="single" w:sz="8" w:space="0" w:color="000000"/>
              <w:bottom w:val="nil"/>
              <w:right w:val="single" w:sz="8" w:space="0" w:color="000000"/>
            </w:tcBorders>
          </w:tcPr>
          <w:p>
            <w:pPr>
              <w:pStyle w:val="TableParagraph"/>
              <w:rPr>
                <w:rFonts w:ascii="Times New Roman"/>
                <w:sz w:val="22"/>
              </w:rPr>
            </w:pPr>
          </w:p>
        </w:tc>
        <w:tc>
          <w:tcPr>
            <w:tcW w:w="383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111"/>
              <w:rPr>
                <w:sz w:val="24"/>
              </w:rPr>
            </w:pPr>
            <w:r>
              <w:rPr>
                <w:sz w:val="24"/>
              </w:rPr>
              <w:t>生均企业实习责任保险补贴</w:t>
            </w:r>
          </w:p>
        </w:tc>
        <w:tc>
          <w:tcPr>
            <w:tcW w:w="99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26"/>
              <w:jc w:val="center"/>
              <w:rPr>
                <w:sz w:val="24"/>
              </w:rPr>
            </w:pPr>
            <w:r>
              <w:rPr>
                <w:sz w:val="24"/>
              </w:rPr>
              <w:t>元</w:t>
            </w:r>
          </w:p>
        </w:tc>
        <w:tc>
          <w:tcPr>
            <w:tcW w:w="109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9"/>
              <w:ind w:left="98" w:right="69"/>
              <w:jc w:val="center"/>
              <w:rPr>
                <w:sz w:val="24"/>
              </w:rPr>
            </w:pPr>
            <w:r>
              <w:rPr>
                <w:sz w:val="24"/>
              </w:rPr>
              <w:t>60</w:t>
            </w:r>
          </w:p>
        </w:tc>
        <w:tc>
          <w:tcPr>
            <w:tcW w:w="1116" w:type="dxa"/>
            <w:vMerge w:val="restart"/>
            <w:tcBorders>
              <w:top w:val="single" w:sz="8" w:space="0" w:color="000000"/>
              <w:left w:val="single" w:sz="8" w:space="0" w:color="000000"/>
              <w:bottom w:val="single" w:sz="8" w:space="0" w:color="000000"/>
            </w:tcBorders>
          </w:tcPr>
          <w:p>
            <w:pPr>
              <w:pStyle w:val="TableParagraph"/>
              <w:spacing w:before="129"/>
              <w:ind w:left="381"/>
              <w:rPr>
                <w:sz w:val="24"/>
              </w:rPr>
            </w:pPr>
            <w:r>
              <w:rPr>
                <w:sz w:val="24"/>
              </w:rPr>
              <w:t>160</w:t>
            </w:r>
          </w:p>
        </w:tc>
      </w:tr>
      <w:tr>
        <w:trPr>
          <w:trHeight w:val="246" w:hRule="atLeast"/>
        </w:trPr>
        <w:tc>
          <w:tcPr>
            <w:tcW w:w="851" w:type="dxa"/>
            <w:vMerge w:val="restart"/>
            <w:tcBorders>
              <w:top w:val="nil"/>
              <w:bottom w:val="nil"/>
              <w:right w:val="single" w:sz="8" w:space="0" w:color="000000"/>
            </w:tcBorders>
          </w:tcPr>
          <w:p>
            <w:pPr>
              <w:pStyle w:val="TableParagraph"/>
              <w:rPr>
                <w:rFonts w:ascii="Times New Roman"/>
                <w:sz w:val="22"/>
              </w:rPr>
            </w:pPr>
          </w:p>
        </w:tc>
        <w:tc>
          <w:tcPr>
            <w:tcW w:w="852" w:type="dxa"/>
            <w:vMerge w:val="restart"/>
            <w:tcBorders>
              <w:top w:val="nil"/>
              <w:left w:val="single" w:sz="8" w:space="0" w:color="000000"/>
              <w:bottom w:val="nil"/>
              <w:right w:val="single" w:sz="8" w:space="0" w:color="000000"/>
            </w:tcBorders>
          </w:tcPr>
          <w:p>
            <w:pPr>
              <w:pStyle w:val="TableParagraph"/>
              <w:rPr>
                <w:rFonts w:ascii="Times New Roman"/>
                <w:sz w:val="22"/>
              </w:rPr>
            </w:pPr>
          </w:p>
        </w:tc>
        <w:tc>
          <w:tcPr>
            <w:tcW w:w="425" w:type="dxa"/>
            <w:vMerge w:val="restart"/>
            <w:tcBorders>
              <w:top w:val="nil"/>
              <w:left w:val="single" w:sz="8" w:space="0" w:color="000000"/>
              <w:bottom w:val="single" w:sz="8" w:space="0" w:color="000000"/>
              <w:right w:val="single" w:sz="8" w:space="0" w:color="000000"/>
            </w:tcBorders>
          </w:tcPr>
          <w:p>
            <w:pPr>
              <w:pStyle w:val="TableParagraph"/>
              <w:spacing w:before="101"/>
              <w:ind w:left="155"/>
              <w:rPr>
                <w:sz w:val="24"/>
              </w:rPr>
            </w:pPr>
            <w:r>
              <w:rPr>
                <w:sz w:val="24"/>
              </w:rPr>
              <w:t>5</w:t>
            </w:r>
          </w:p>
        </w:tc>
        <w:tc>
          <w:tcPr>
            <w:tcW w:w="3832" w:type="dxa"/>
            <w:vMerge/>
            <w:tcBorders>
              <w:top w:val="nil"/>
              <w:left w:val="single" w:sz="8" w:space="0" w:color="000000"/>
              <w:bottom w:val="single" w:sz="8" w:space="0" w:color="000000"/>
              <w:right w:val="single" w:sz="8" w:space="0" w:color="000000"/>
            </w:tcBorders>
          </w:tcPr>
          <w:p>
            <w:pPr>
              <w:rPr>
                <w:sz w:val="2"/>
                <w:szCs w:val="2"/>
              </w:rPr>
            </w:pPr>
          </w:p>
        </w:tc>
        <w:tc>
          <w:tcPr>
            <w:tcW w:w="996" w:type="dxa"/>
            <w:vMerge/>
            <w:tcBorders>
              <w:top w:val="nil"/>
              <w:left w:val="single" w:sz="8" w:space="0" w:color="000000"/>
              <w:bottom w:val="single" w:sz="8" w:space="0" w:color="000000"/>
              <w:right w:val="single" w:sz="8" w:space="0" w:color="000000"/>
            </w:tcBorders>
          </w:tcPr>
          <w:p>
            <w:pPr>
              <w:rPr>
                <w:sz w:val="2"/>
                <w:szCs w:val="2"/>
              </w:rPr>
            </w:pPr>
          </w:p>
        </w:tc>
        <w:tc>
          <w:tcPr>
            <w:tcW w:w="1099" w:type="dxa"/>
            <w:vMerge/>
            <w:tcBorders>
              <w:top w:val="nil"/>
              <w:left w:val="single" w:sz="8" w:space="0" w:color="000000"/>
              <w:bottom w:val="single" w:sz="8" w:space="0" w:color="000000"/>
              <w:right w:val="single" w:sz="8" w:space="0" w:color="000000"/>
            </w:tcBorders>
          </w:tcPr>
          <w:p>
            <w:pPr>
              <w:rPr>
                <w:sz w:val="2"/>
                <w:szCs w:val="2"/>
              </w:rPr>
            </w:pPr>
          </w:p>
        </w:tc>
        <w:tc>
          <w:tcPr>
            <w:tcW w:w="1116" w:type="dxa"/>
            <w:vMerge/>
            <w:tcBorders>
              <w:top w:val="nil"/>
              <w:left w:val="single" w:sz="8" w:space="0" w:color="000000"/>
              <w:bottom w:val="single" w:sz="8" w:space="0" w:color="000000"/>
            </w:tcBorders>
          </w:tcPr>
          <w:p>
            <w:pPr>
              <w:rPr>
                <w:sz w:val="2"/>
                <w:szCs w:val="2"/>
              </w:rPr>
            </w:pPr>
          </w:p>
        </w:tc>
      </w:tr>
      <w:tr>
        <w:trPr>
          <w:trHeight w:val="567" w:hRule="atLeast"/>
        </w:trPr>
        <w:tc>
          <w:tcPr>
            <w:tcW w:w="851" w:type="dxa"/>
            <w:vMerge/>
            <w:tcBorders>
              <w:top w:val="nil"/>
              <w:bottom w:val="nil"/>
              <w:right w:val="single" w:sz="8" w:space="0" w:color="000000"/>
            </w:tcBorders>
          </w:tcPr>
          <w:p>
            <w:pPr>
              <w:rPr>
                <w:sz w:val="2"/>
                <w:szCs w:val="2"/>
              </w:rPr>
            </w:pPr>
          </w:p>
        </w:tc>
        <w:tc>
          <w:tcPr>
            <w:tcW w:w="852" w:type="dxa"/>
            <w:vMerge/>
            <w:tcBorders>
              <w:top w:val="nil"/>
              <w:left w:val="single" w:sz="8" w:space="0" w:color="000000"/>
              <w:bottom w:val="nil"/>
              <w:right w:val="single" w:sz="8" w:space="0" w:color="000000"/>
            </w:tcBorders>
          </w:tcPr>
          <w:p>
            <w:pPr>
              <w:rPr>
                <w:sz w:val="2"/>
                <w:szCs w:val="2"/>
              </w:rPr>
            </w:pPr>
          </w:p>
        </w:tc>
        <w:tc>
          <w:tcPr>
            <w:tcW w:w="425" w:type="dxa"/>
            <w:vMerge/>
            <w:tcBorders>
              <w:top w:val="nil"/>
              <w:left w:val="single" w:sz="8" w:space="0" w:color="000000"/>
              <w:bottom w:val="single" w:sz="8" w:space="0" w:color="000000"/>
              <w:right w:val="single" w:sz="8" w:space="0" w:color="000000"/>
            </w:tcBorders>
          </w:tcPr>
          <w:p>
            <w:pPr>
              <w:rPr>
                <w:sz w:val="2"/>
                <w:szCs w:val="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130"/>
              <w:ind w:left="351"/>
              <w:rPr>
                <w:sz w:val="24"/>
              </w:rPr>
            </w:pPr>
            <w:r>
              <w:rPr>
                <w:sz w:val="24"/>
              </w:rPr>
              <w:t>其中：生均财政专项补贴</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130"/>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130"/>
              <w:ind w:left="29"/>
              <w:jc w:val="center"/>
              <w:rPr>
                <w:sz w:val="24"/>
              </w:rPr>
            </w:pPr>
            <w:r>
              <w:rPr>
                <w:sz w:val="24"/>
              </w:rPr>
              <w:t>0</w:t>
            </w:r>
          </w:p>
        </w:tc>
        <w:tc>
          <w:tcPr>
            <w:tcW w:w="1116" w:type="dxa"/>
            <w:tcBorders>
              <w:top w:val="single" w:sz="8" w:space="0" w:color="000000"/>
              <w:left w:val="single" w:sz="8" w:space="0" w:color="000000"/>
              <w:bottom w:val="single" w:sz="8" w:space="0" w:color="000000"/>
            </w:tcBorders>
          </w:tcPr>
          <w:p>
            <w:pPr>
              <w:pStyle w:val="TableParagraph"/>
              <w:spacing w:before="130"/>
              <w:ind w:left="421" w:right="389"/>
              <w:jc w:val="center"/>
              <w:rPr>
                <w:sz w:val="24"/>
              </w:rPr>
            </w:pPr>
            <w:r>
              <w:rPr>
                <w:sz w:val="24"/>
              </w:rPr>
              <w:t>60</w:t>
            </w:r>
          </w:p>
        </w:tc>
      </w:tr>
      <w:tr>
        <w:trPr>
          <w:trHeight w:val="567" w:hRule="atLeast"/>
        </w:trPr>
        <w:tc>
          <w:tcPr>
            <w:tcW w:w="851" w:type="dxa"/>
            <w:tcBorders>
              <w:top w:val="nil"/>
              <w:bottom w:val="nil"/>
              <w:right w:val="single" w:sz="8" w:space="0" w:color="000000"/>
            </w:tcBorders>
          </w:tcPr>
          <w:p>
            <w:pPr>
              <w:pStyle w:val="TableParagraph"/>
              <w:rPr>
                <w:rFonts w:ascii="Times New Roman"/>
                <w:sz w:val="22"/>
              </w:rPr>
            </w:pPr>
          </w:p>
        </w:tc>
        <w:tc>
          <w:tcPr>
            <w:tcW w:w="852" w:type="dxa"/>
            <w:tcBorders>
              <w:top w:val="nil"/>
              <w:left w:val="single" w:sz="8" w:space="0" w:color="000000"/>
              <w:bottom w:val="nil"/>
              <w:right w:val="single" w:sz="8" w:space="0" w:color="000000"/>
            </w:tcBorders>
          </w:tcPr>
          <w:p>
            <w:pPr>
              <w:pStyle w:val="TableParagraph"/>
              <w:rPr>
                <w:rFonts w:ascii="Times New Roman"/>
                <w:sz w:val="22"/>
              </w:rPr>
            </w:pPr>
          </w:p>
        </w:tc>
        <w:tc>
          <w:tcPr>
            <w:tcW w:w="425" w:type="dxa"/>
            <w:tcBorders>
              <w:top w:val="single" w:sz="8" w:space="0" w:color="000000"/>
              <w:left w:val="single" w:sz="8" w:space="0" w:color="000000"/>
              <w:bottom w:val="nil"/>
              <w:right w:val="single" w:sz="8" w:space="0" w:color="000000"/>
            </w:tcBorders>
          </w:tcPr>
          <w:p>
            <w:pPr>
              <w:pStyle w:val="TableParagraph"/>
              <w:rPr>
                <w:rFonts w:ascii="Times New Roman"/>
                <w:sz w:val="22"/>
              </w:rPr>
            </w:pP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131"/>
              <w:ind w:left="111"/>
              <w:rPr>
                <w:sz w:val="24"/>
              </w:rPr>
            </w:pPr>
            <w:r>
              <w:rPr>
                <w:sz w:val="24"/>
              </w:rPr>
              <w:t>企业兼职教师年课时总量</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131"/>
              <w:ind w:left="241" w:right="215"/>
              <w:jc w:val="center"/>
              <w:rPr>
                <w:sz w:val="24"/>
              </w:rPr>
            </w:pPr>
            <w:r>
              <w:rPr>
                <w:sz w:val="24"/>
              </w:rPr>
              <w:t>课时</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131"/>
              <w:ind w:left="98" w:right="69"/>
              <w:jc w:val="center"/>
              <w:rPr>
                <w:sz w:val="24"/>
              </w:rPr>
            </w:pPr>
            <w:r>
              <w:rPr>
                <w:sz w:val="24"/>
              </w:rPr>
              <w:t>20178</w:t>
            </w:r>
          </w:p>
        </w:tc>
        <w:tc>
          <w:tcPr>
            <w:tcW w:w="1116" w:type="dxa"/>
            <w:tcBorders>
              <w:top w:val="single" w:sz="8" w:space="0" w:color="000000"/>
              <w:left w:val="single" w:sz="8" w:space="0" w:color="000000"/>
              <w:bottom w:val="single" w:sz="8" w:space="0" w:color="000000"/>
            </w:tcBorders>
          </w:tcPr>
          <w:p>
            <w:pPr>
              <w:pStyle w:val="TableParagraph"/>
              <w:spacing w:before="131"/>
              <w:ind w:left="261"/>
              <w:rPr>
                <w:sz w:val="24"/>
              </w:rPr>
            </w:pPr>
            <w:r>
              <w:rPr>
                <w:sz w:val="24"/>
              </w:rPr>
              <w:t>31274</w:t>
            </w:r>
          </w:p>
        </w:tc>
      </w:tr>
      <w:tr>
        <w:trPr>
          <w:trHeight w:val="566" w:hRule="atLeast"/>
        </w:trPr>
        <w:tc>
          <w:tcPr>
            <w:tcW w:w="851" w:type="dxa"/>
            <w:tcBorders>
              <w:top w:val="nil"/>
              <w:bottom w:val="nil"/>
              <w:right w:val="single" w:sz="8" w:space="0" w:color="000000"/>
            </w:tcBorders>
          </w:tcPr>
          <w:p>
            <w:pPr>
              <w:pStyle w:val="TableParagraph"/>
              <w:rPr>
                <w:rFonts w:ascii="Times New Roman"/>
                <w:sz w:val="22"/>
              </w:rPr>
            </w:pPr>
          </w:p>
        </w:tc>
        <w:tc>
          <w:tcPr>
            <w:tcW w:w="852" w:type="dxa"/>
            <w:tcBorders>
              <w:top w:val="nil"/>
              <w:left w:val="single" w:sz="8" w:space="0" w:color="000000"/>
              <w:bottom w:val="nil"/>
              <w:right w:val="single" w:sz="8" w:space="0" w:color="000000"/>
            </w:tcBorders>
          </w:tcPr>
          <w:p>
            <w:pPr>
              <w:pStyle w:val="TableParagraph"/>
              <w:rPr>
                <w:rFonts w:ascii="Times New Roman"/>
                <w:sz w:val="22"/>
              </w:rPr>
            </w:pPr>
          </w:p>
        </w:tc>
        <w:tc>
          <w:tcPr>
            <w:tcW w:w="425" w:type="dxa"/>
            <w:tcBorders>
              <w:top w:val="nil"/>
              <w:left w:val="single" w:sz="8" w:space="0" w:color="000000"/>
              <w:bottom w:val="nil"/>
              <w:right w:val="single" w:sz="8" w:space="0" w:color="000000"/>
            </w:tcBorders>
          </w:tcPr>
          <w:p>
            <w:pPr>
              <w:pStyle w:val="TableParagraph"/>
              <w:spacing w:before="130"/>
              <w:ind w:left="25"/>
              <w:jc w:val="center"/>
              <w:rPr>
                <w:sz w:val="24"/>
              </w:rPr>
            </w:pPr>
            <w:r>
              <w:rPr>
                <w:sz w:val="24"/>
              </w:rPr>
              <w:t>6</w:t>
            </w:r>
          </w:p>
        </w:tc>
        <w:tc>
          <w:tcPr>
            <w:tcW w:w="3832" w:type="dxa"/>
            <w:tcBorders>
              <w:top w:val="single" w:sz="8" w:space="0" w:color="000000"/>
              <w:left w:val="single" w:sz="8" w:space="0" w:color="000000"/>
              <w:bottom w:val="single" w:sz="8" w:space="0" w:color="000000"/>
              <w:right w:val="single" w:sz="8" w:space="0" w:color="000000"/>
            </w:tcBorders>
          </w:tcPr>
          <w:p>
            <w:pPr>
              <w:pStyle w:val="TableParagraph"/>
              <w:spacing w:before="130"/>
              <w:ind w:left="111"/>
              <w:rPr>
                <w:sz w:val="24"/>
              </w:rPr>
            </w:pPr>
            <w:r>
              <w:rPr>
                <w:sz w:val="24"/>
              </w:rPr>
              <w:t>年支付企业兼职教师课酬</w:t>
            </w:r>
          </w:p>
        </w:tc>
        <w:tc>
          <w:tcPr>
            <w:tcW w:w="996" w:type="dxa"/>
            <w:tcBorders>
              <w:top w:val="single" w:sz="8" w:space="0" w:color="000000"/>
              <w:left w:val="single" w:sz="8" w:space="0" w:color="000000"/>
              <w:bottom w:val="single" w:sz="8" w:space="0" w:color="000000"/>
              <w:right w:val="single" w:sz="8" w:space="0" w:color="000000"/>
            </w:tcBorders>
          </w:tcPr>
          <w:p>
            <w:pPr>
              <w:pStyle w:val="TableParagraph"/>
              <w:spacing w:before="130"/>
              <w:ind w:left="26"/>
              <w:jc w:val="center"/>
              <w:rPr>
                <w:sz w:val="24"/>
              </w:rPr>
            </w:pPr>
            <w:r>
              <w:rPr>
                <w:sz w:val="24"/>
              </w:rPr>
              <w:t>元</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before="130"/>
              <w:ind w:left="98" w:right="69"/>
              <w:jc w:val="center"/>
              <w:rPr>
                <w:sz w:val="24"/>
              </w:rPr>
            </w:pPr>
            <w:r>
              <w:rPr>
                <w:sz w:val="24"/>
              </w:rPr>
              <w:t>2734000</w:t>
            </w:r>
          </w:p>
        </w:tc>
        <w:tc>
          <w:tcPr>
            <w:tcW w:w="1116" w:type="dxa"/>
            <w:tcBorders>
              <w:top w:val="single" w:sz="8" w:space="0" w:color="000000"/>
              <w:left w:val="single" w:sz="8" w:space="0" w:color="000000"/>
              <w:bottom w:val="single" w:sz="8" w:space="0" w:color="000000"/>
            </w:tcBorders>
          </w:tcPr>
          <w:p>
            <w:pPr>
              <w:pStyle w:val="TableParagraph"/>
              <w:spacing w:before="130"/>
              <w:ind w:right="107"/>
              <w:jc w:val="right"/>
              <w:rPr>
                <w:sz w:val="24"/>
              </w:rPr>
            </w:pPr>
            <w:r>
              <w:rPr>
                <w:sz w:val="24"/>
              </w:rPr>
              <w:t>3296000</w:t>
            </w:r>
          </w:p>
        </w:tc>
      </w:tr>
      <w:tr>
        <w:trPr>
          <w:trHeight w:val="566" w:hRule="atLeast"/>
        </w:trPr>
        <w:tc>
          <w:tcPr>
            <w:tcW w:w="851" w:type="dxa"/>
            <w:tcBorders>
              <w:top w:val="nil"/>
              <w:right w:val="single" w:sz="8" w:space="0" w:color="000000"/>
            </w:tcBorders>
          </w:tcPr>
          <w:p>
            <w:pPr>
              <w:pStyle w:val="TableParagraph"/>
              <w:rPr>
                <w:rFonts w:ascii="Times New Roman"/>
                <w:sz w:val="22"/>
              </w:rPr>
            </w:pPr>
          </w:p>
        </w:tc>
        <w:tc>
          <w:tcPr>
            <w:tcW w:w="852" w:type="dxa"/>
            <w:tcBorders>
              <w:top w:val="nil"/>
              <w:left w:val="single" w:sz="8" w:space="0" w:color="000000"/>
              <w:right w:val="single" w:sz="8" w:space="0" w:color="000000"/>
            </w:tcBorders>
          </w:tcPr>
          <w:p>
            <w:pPr>
              <w:pStyle w:val="TableParagraph"/>
              <w:rPr>
                <w:rFonts w:ascii="Times New Roman"/>
                <w:sz w:val="22"/>
              </w:rPr>
            </w:pPr>
          </w:p>
        </w:tc>
        <w:tc>
          <w:tcPr>
            <w:tcW w:w="425" w:type="dxa"/>
            <w:tcBorders>
              <w:top w:val="nil"/>
              <w:left w:val="single" w:sz="8" w:space="0" w:color="000000"/>
              <w:right w:val="single" w:sz="8" w:space="0" w:color="000000"/>
            </w:tcBorders>
          </w:tcPr>
          <w:p>
            <w:pPr>
              <w:pStyle w:val="TableParagraph"/>
              <w:rPr>
                <w:rFonts w:ascii="Times New Roman"/>
                <w:sz w:val="22"/>
              </w:rPr>
            </w:pPr>
          </w:p>
        </w:tc>
        <w:tc>
          <w:tcPr>
            <w:tcW w:w="3832" w:type="dxa"/>
            <w:tcBorders>
              <w:top w:val="single" w:sz="8" w:space="0" w:color="000000"/>
              <w:left w:val="single" w:sz="8" w:space="0" w:color="000000"/>
              <w:right w:val="single" w:sz="8" w:space="0" w:color="000000"/>
            </w:tcBorders>
          </w:tcPr>
          <w:p>
            <w:pPr>
              <w:pStyle w:val="TableParagraph"/>
              <w:spacing w:before="131"/>
              <w:ind w:left="351"/>
              <w:rPr>
                <w:sz w:val="24"/>
              </w:rPr>
            </w:pPr>
            <w:r>
              <w:rPr>
                <w:sz w:val="24"/>
              </w:rPr>
              <w:t>其中：财政专项补贴</w:t>
            </w:r>
          </w:p>
        </w:tc>
        <w:tc>
          <w:tcPr>
            <w:tcW w:w="996" w:type="dxa"/>
            <w:tcBorders>
              <w:top w:val="single" w:sz="8" w:space="0" w:color="000000"/>
              <w:left w:val="single" w:sz="8" w:space="0" w:color="000000"/>
              <w:right w:val="single" w:sz="8" w:space="0" w:color="000000"/>
            </w:tcBorders>
          </w:tcPr>
          <w:p>
            <w:pPr>
              <w:pStyle w:val="TableParagraph"/>
              <w:spacing w:before="131"/>
              <w:ind w:left="26"/>
              <w:jc w:val="center"/>
              <w:rPr>
                <w:sz w:val="24"/>
              </w:rPr>
            </w:pPr>
            <w:r>
              <w:rPr>
                <w:sz w:val="24"/>
              </w:rPr>
              <w:t>元</w:t>
            </w:r>
          </w:p>
        </w:tc>
        <w:tc>
          <w:tcPr>
            <w:tcW w:w="1099" w:type="dxa"/>
            <w:tcBorders>
              <w:top w:val="single" w:sz="8" w:space="0" w:color="000000"/>
              <w:left w:val="single" w:sz="8" w:space="0" w:color="000000"/>
              <w:right w:val="single" w:sz="8" w:space="0" w:color="000000"/>
            </w:tcBorders>
          </w:tcPr>
          <w:p>
            <w:pPr>
              <w:pStyle w:val="TableParagraph"/>
              <w:spacing w:before="131"/>
              <w:ind w:left="29"/>
              <w:jc w:val="center"/>
              <w:rPr>
                <w:sz w:val="24"/>
              </w:rPr>
            </w:pPr>
            <w:r>
              <w:rPr>
                <w:sz w:val="24"/>
              </w:rPr>
              <w:t>0</w:t>
            </w:r>
          </w:p>
        </w:tc>
        <w:tc>
          <w:tcPr>
            <w:tcW w:w="1116" w:type="dxa"/>
            <w:tcBorders>
              <w:top w:val="single" w:sz="8" w:space="0" w:color="000000"/>
              <w:left w:val="single" w:sz="8" w:space="0" w:color="000000"/>
            </w:tcBorders>
          </w:tcPr>
          <w:p>
            <w:pPr>
              <w:pStyle w:val="TableParagraph"/>
              <w:spacing w:before="131"/>
              <w:ind w:right="107"/>
              <w:jc w:val="right"/>
              <w:rPr>
                <w:sz w:val="24"/>
              </w:rPr>
            </w:pPr>
            <w:r>
              <w:rPr>
                <w:sz w:val="24"/>
              </w:rPr>
              <w:t>2000000</w:t>
            </w:r>
          </w:p>
        </w:tc>
      </w:tr>
    </w:tbl>
    <w:sectPr>
      <w:pgSz w:w="11910" w:h="16840"/>
      <w:pgMar w:header="780" w:footer="1241" w:top="1260" w:bottom="14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黑体">
    <w:altName w:val="黑体"/>
    <w:charset w:val="86"/>
    <w:family w:val="modern"/>
    <w:pitch w:val="fixed"/>
  </w:font>
  <w:font w:name="楷体">
    <w:altName w:val="楷体"/>
    <w:charset w:val="86"/>
    <w:family w:val="modern"/>
    <w:pitch w:val="fixed"/>
  </w:font>
  <w:font w:name="Arial Unicode MS">
    <w:altName w:val="Arial Unicode MS"/>
    <w:charset w:val="86"/>
    <w:family w:val="swiss"/>
    <w:pitch w:val="variable"/>
  </w:font>
  <w:font w:name="宋体">
    <w:altName w:val="宋体"/>
    <w:charset w:val="86"/>
    <w:family w:val="auto"/>
    <w:pitch w:val="variable"/>
  </w:font>
  <w:font w:name="Arial">
    <w:altName w:val="Arial"/>
    <w:charset w:val="0"/>
    <w:family w:val="swiss"/>
    <w:pitch w:val="variable"/>
  </w:font>
  <w:font w:name="Microsoft JhengHei">
    <w:altName w:val="Microsoft JhengHei"/>
    <w:charset w:val="0"/>
    <w:family w:val="swiss"/>
    <w:pitch w:val="variable"/>
  </w:font>
  <w:font w:name="仿宋">
    <w:altName w:val="仿宋"/>
    <w:charset w:val="86"/>
    <w:family w:val="modern"/>
    <w:pitch w:val="fixed"/>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440002pt;margin-top:769.377869pt;width:14.35pt;height:13.6pt;mso-position-horizontal-relative:page;mso-position-vertical-relative:page;z-index:-258974720" type="#_x0000_t202" filled="false" stroked="false">
          <v:textbox inset="0,0,0,0">
            <w:txbxContent>
              <w:p>
                <w:pPr>
                  <w:spacing w:before="10"/>
                  <w:ind w:left="40" w:right="0" w:firstLine="0"/>
                  <w:jc w:val="left"/>
                  <w:rPr>
                    <w:rFonts w:ascii="Times New Roman"/>
                    <w:sz w:val="21"/>
                  </w:rPr>
                </w:pPr>
                <w:r>
                  <w:rPr/>
                  <w:fldChar w:fldCharType="begin"/>
                </w:r>
                <w:r>
                  <w:rPr>
                    <w:rFonts w:ascii="Times New Roman"/>
                    <w:sz w:val="21"/>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600006pt;margin-top:768.869568pt;width:44.05pt;height:12.45pt;mso-position-horizontal-relative:page;mso-position-vertical-relative:page;z-index:-258962432"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80</w:t>
                </w:r>
                <w:r>
                  <w:rPr/>
                  <w:fldChar w:fldCharType="end"/>
                </w:r>
                <w:r>
                  <w:rPr>
                    <w:sz w:val="21"/>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239990pt;margin-top:768.869568pt;width:38.75pt;height:12.45pt;mso-position-horizontal-relative:page;mso-position-vertical-relative:page;z-index:-258970624"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1</w:t>
                </w:r>
                <w:r>
                  <w:rPr/>
                  <w:fldChar w:fldCharType="end"/>
                </w:r>
                <w:r>
                  <w:rPr>
                    <w:sz w:val="21"/>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600006pt;margin-top:768.869568pt;width:44.05pt;height:12.45pt;mso-position-horizontal-relative:page;mso-position-vertical-relative:page;z-index:-258969600"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10</w:t>
                </w:r>
                <w:r>
                  <w:rPr/>
                  <w:fldChar w:fldCharType="end"/>
                </w:r>
                <w:r>
                  <w:rPr>
                    <w:sz w:val="21"/>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600006pt;margin-top:768.869568pt;width:44.05pt;height:12.45pt;mso-position-horizontal-relative:page;mso-position-vertical-relative:page;z-index:-258968576"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20</w:t>
                </w:r>
                <w:r>
                  <w:rPr/>
                  <w:fldChar w:fldCharType="end"/>
                </w:r>
                <w:r>
                  <w:rPr>
                    <w:sz w:val="21"/>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600006pt;margin-top:768.869568pt;width:44.05pt;height:12.45pt;mso-position-horizontal-relative:page;mso-position-vertical-relative:page;z-index:-258967552"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30</w:t>
                </w:r>
                <w:r>
                  <w:rPr/>
                  <w:fldChar w:fldCharType="end"/>
                </w:r>
                <w:r>
                  <w:rPr>
                    <w:sz w:val="21"/>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600006pt;margin-top:768.869568pt;width:44.05pt;height:12.45pt;mso-position-horizontal-relative:page;mso-position-vertical-relative:page;z-index:-258966528"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40</w:t>
                </w:r>
                <w:r>
                  <w:rPr/>
                  <w:fldChar w:fldCharType="end"/>
                </w:r>
                <w:r>
                  <w:rPr>
                    <w:sz w:val="21"/>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600006pt;margin-top:768.869568pt;width:44.05pt;height:12.45pt;mso-position-horizontal-relative:page;mso-position-vertical-relative:page;z-index:-258965504"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54</w:t>
                </w:r>
                <w:r>
                  <w:rPr/>
                  <w:fldChar w:fldCharType="end"/>
                </w:r>
                <w:r>
                  <w:rPr>
                    <w:sz w:val="21"/>
                  </w:rPr>
                  <w:t>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600006pt;margin-top:768.869568pt;width:44.05pt;height:12.45pt;mso-position-horizontal-relative:page;mso-position-vertical-relative:page;z-index:-258964480"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60</w:t>
                </w:r>
                <w:r>
                  <w:rPr/>
                  <w:fldChar w:fldCharType="end"/>
                </w:r>
                <w:r>
                  <w:rPr>
                    <w:sz w:val="21"/>
                  </w:rPr>
                  <w:t>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600006pt;margin-top:768.869568pt;width:44.05pt;height:12.45pt;mso-position-horizontal-relative:page;mso-position-vertical-relative:page;z-index:-258963456" type="#_x0000_t202" filled="false" stroked="false">
          <v:textbox inset="0,0,0,0">
            <w:txbxContent>
              <w:p>
                <w:pPr>
                  <w:spacing w:line="249" w:lineRule="exact" w:before="0"/>
                  <w:ind w:left="20" w:right="0" w:firstLine="0"/>
                  <w:jc w:val="left"/>
                  <w:rPr>
                    <w:sz w:val="21"/>
                  </w:rPr>
                </w:pPr>
                <w:r>
                  <w:rPr>
                    <w:sz w:val="21"/>
                  </w:rPr>
                  <w:t>· </w:t>
                </w:r>
                <w:r>
                  <w:rPr/>
                  <w:fldChar w:fldCharType="begin"/>
                </w:r>
                <w:r>
                  <w:rPr>
                    <w:sz w:val="21"/>
                  </w:rPr>
                  <w:instrText> PAGE </w:instrText>
                </w:r>
                <w:r>
                  <w:rPr/>
                  <w:fldChar w:fldCharType="separate"/>
                </w:r>
                <w:r>
                  <w:rPr/>
                  <w:t>70</w:t>
                </w:r>
                <w:r>
                  <w:rPr/>
                  <w:fldChar w:fldCharType="end"/>
                </w:r>
                <w:r>
                  <w:rPr>
                    <w:sz w:val="21"/>
                  </w:rPr>
                  <w:t> ·</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8.399994pt;margin-top:50.95565pt;width:136.950pt;height:11pt;mso-position-horizontal-relative:page;mso-position-vertical-relative:page;z-index:-258977792" type="#_x0000_t202" filled="false" stroked="false">
          <v:textbox inset="0,0,0,0">
            <w:txbxContent>
              <w:p>
                <w:pPr>
                  <w:spacing w:line="220" w:lineRule="exact" w:before="0"/>
                  <w:ind w:left="20" w:right="0" w:firstLine="0"/>
                  <w:jc w:val="left"/>
                  <w:rPr>
                    <w:rFonts w:ascii="楷体" w:eastAsia="楷体" w:hint="eastAsia"/>
                    <w:sz w:val="18"/>
                  </w:rPr>
                </w:pPr>
                <w:r>
                  <w:rPr>
                    <w:rFonts w:ascii="楷体" w:eastAsia="楷体" w:hint="eastAsia"/>
                    <w:sz w:val="18"/>
                  </w:rPr>
                  <w:t>高等职业教育质量年度报告(2019)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8.160004pt;margin-top:41.640026pt;width:456.25pt;height:22.3pt;mso-position-horizontal-relative:page;mso-position-vertical-relative:page;z-index:-258976768" coordorigin="1363,833" coordsize="9125,446">
          <v:line style="position:absolute" from="1418,1271" to="10488,1271" stroked="true" strokeweight=".72pt" strokecolor="#000000">
            <v:stroke dashstyle="solid"/>
          </v:line>
          <v:shape style="position:absolute;left:1718;top:832;width:1940;height:203" type="#_x0000_t75" stroked="false">
            <v:imagedata r:id="rId1" o:title=""/>
          </v:shape>
          <v:shape style="position:absolute;left:1363;top:871;width:435;height:392" type="#_x0000_t75" stroked="false">
            <v:imagedata r:id="rId2" o:title=""/>
          </v:shape>
          <v:shape style="position:absolute;left:1730;top:1084;width:1904;height:128" type="#_x0000_t75" stroked="false">
            <v:imagedata r:id="rId3" o:title=""/>
          </v:shape>
          <w10:wrap type="none"/>
        </v:group>
      </w:pict>
    </w:r>
    <w:r>
      <w:rPr/>
      <w:pict>
        <v:shape style="position:absolute;margin-left:388.399994pt;margin-top:50.95565pt;width:136.950pt;height:11pt;mso-position-horizontal-relative:page;mso-position-vertical-relative:page;z-index:-258975744" type="#_x0000_t202" filled="false" stroked="false">
          <v:textbox inset="0,0,0,0">
            <w:txbxContent>
              <w:p>
                <w:pPr>
                  <w:spacing w:line="220" w:lineRule="exact" w:before="0"/>
                  <w:ind w:left="20" w:right="0" w:firstLine="0"/>
                  <w:jc w:val="left"/>
                  <w:rPr>
                    <w:rFonts w:ascii="楷体" w:eastAsia="楷体" w:hint="eastAsia"/>
                    <w:sz w:val="18"/>
                  </w:rPr>
                </w:pPr>
                <w:r>
                  <w:rPr>
                    <w:rFonts w:ascii="楷体" w:eastAsia="楷体" w:hint="eastAsia"/>
                    <w:sz w:val="18"/>
                  </w:rPr>
                  <w:t>高等职业教育质量年度报告(2019)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959999pt;margin-top:39.000023pt;width:114.85pt;height:21.55pt;mso-position-horizontal-relative:page;mso-position-vertical-relative:page;z-index:-258973696" coordorigin="1339,780" coordsize="2297,431">
          <v:shape style="position:absolute;left:1696;top:780;width:1940;height:203" type="#_x0000_t75" stroked="false">
            <v:imagedata r:id="rId1" o:title=""/>
          </v:shape>
          <v:shape style="position:absolute;left:1339;top:818;width:435;height:392" type="#_x0000_t75" stroked="false">
            <v:imagedata r:id="rId2" o:title=""/>
          </v:shape>
          <v:shape style="position:absolute;left:1708;top:1032;width:1904;height:128" type="#_x0000_t75" stroked="false">
            <v:imagedata r:id="rId3" o:title=""/>
          </v:shape>
          <w10:wrap type="none"/>
        </v:group>
      </w:pict>
    </w:r>
    <w:r>
      <w:rPr/>
      <w:pict>
        <v:line style="position:absolute;mso-position-horizontal-relative:page;mso-position-vertical-relative:page;z-index:-258972672" from="70.900002pt,63.560024pt" to="524.400002pt,63.560024pt" stroked="true" strokeweight=".72pt" strokecolor="#000000">
          <v:stroke dashstyle="solid"/>
          <w10:wrap type="none"/>
        </v:line>
      </w:pict>
    </w:r>
    <w:r>
      <w:rPr/>
      <w:pict>
        <v:shape style="position:absolute;margin-left:388.399994pt;margin-top:50.95565pt;width:136.950pt;height:11pt;mso-position-horizontal-relative:page;mso-position-vertical-relative:page;z-index:-258971648" type="#_x0000_t202" filled="false" stroked="false">
          <v:textbox inset="0,0,0,0">
            <w:txbxContent>
              <w:p>
                <w:pPr>
                  <w:spacing w:line="220" w:lineRule="exact" w:before="0"/>
                  <w:ind w:left="20" w:right="0" w:firstLine="0"/>
                  <w:jc w:val="left"/>
                  <w:rPr>
                    <w:rFonts w:ascii="楷体" w:eastAsia="楷体" w:hint="eastAsia"/>
                    <w:sz w:val="18"/>
                  </w:rPr>
                </w:pPr>
                <w:r>
                  <w:rPr>
                    <w:rFonts w:ascii="楷体" w:eastAsia="楷体" w:hint="eastAsia"/>
                    <w:sz w:val="18"/>
                  </w:rPr>
                  <w:t>高等职业教育质量年度报告(2019)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6"/>
      <w:numFmt w:val="decimal"/>
      <w:lvlText w:val="%1"/>
      <w:lvlJc w:val="left"/>
      <w:pPr>
        <w:ind w:left="2397" w:hanging="420"/>
        <w:jc w:val="right"/>
      </w:pPr>
      <w:rPr>
        <w:rFonts w:hint="default"/>
        <w:b/>
        <w:bCs/>
        <w:w w:val="100"/>
        <w:lang w:val="zh-CN" w:eastAsia="zh-CN" w:bidi="zh-CN"/>
      </w:rPr>
    </w:lvl>
    <w:lvl w:ilvl="1">
      <w:start w:val="1"/>
      <w:numFmt w:val="decimal"/>
      <w:lvlText w:val="%1.%2"/>
      <w:lvlJc w:val="left"/>
      <w:pPr>
        <w:ind w:left="2472" w:hanging="574"/>
        <w:jc w:val="left"/>
      </w:pPr>
      <w:rPr>
        <w:rFonts w:hint="default" w:ascii="Arial" w:hAnsi="Arial" w:eastAsia="Arial" w:cs="Arial"/>
        <w:b/>
        <w:bCs/>
        <w:w w:val="99"/>
        <w:sz w:val="24"/>
        <w:szCs w:val="24"/>
        <w:lang w:val="zh-CN" w:eastAsia="zh-CN" w:bidi="zh-CN"/>
      </w:rPr>
    </w:lvl>
    <w:lvl w:ilvl="2">
      <w:start w:val="0"/>
      <w:numFmt w:val="bullet"/>
      <w:lvlText w:val="•"/>
      <w:lvlJc w:val="left"/>
      <w:pPr>
        <w:ind w:left="3527" w:hanging="574"/>
      </w:pPr>
      <w:rPr>
        <w:rFonts w:hint="default"/>
        <w:lang w:val="zh-CN" w:eastAsia="zh-CN" w:bidi="zh-CN"/>
      </w:rPr>
    </w:lvl>
    <w:lvl w:ilvl="3">
      <w:start w:val="0"/>
      <w:numFmt w:val="bullet"/>
      <w:lvlText w:val="•"/>
      <w:lvlJc w:val="left"/>
      <w:pPr>
        <w:ind w:left="4574" w:hanging="574"/>
      </w:pPr>
      <w:rPr>
        <w:rFonts w:hint="default"/>
        <w:lang w:val="zh-CN" w:eastAsia="zh-CN" w:bidi="zh-CN"/>
      </w:rPr>
    </w:lvl>
    <w:lvl w:ilvl="4">
      <w:start w:val="0"/>
      <w:numFmt w:val="bullet"/>
      <w:lvlText w:val="•"/>
      <w:lvlJc w:val="left"/>
      <w:pPr>
        <w:ind w:left="5622" w:hanging="574"/>
      </w:pPr>
      <w:rPr>
        <w:rFonts w:hint="default"/>
        <w:lang w:val="zh-CN" w:eastAsia="zh-CN" w:bidi="zh-CN"/>
      </w:rPr>
    </w:lvl>
    <w:lvl w:ilvl="5">
      <w:start w:val="0"/>
      <w:numFmt w:val="bullet"/>
      <w:lvlText w:val="•"/>
      <w:lvlJc w:val="left"/>
      <w:pPr>
        <w:ind w:left="6669" w:hanging="574"/>
      </w:pPr>
      <w:rPr>
        <w:rFonts w:hint="default"/>
        <w:lang w:val="zh-CN" w:eastAsia="zh-CN" w:bidi="zh-CN"/>
      </w:rPr>
    </w:lvl>
    <w:lvl w:ilvl="6">
      <w:start w:val="0"/>
      <w:numFmt w:val="bullet"/>
      <w:lvlText w:val="•"/>
      <w:lvlJc w:val="left"/>
      <w:pPr>
        <w:ind w:left="7716" w:hanging="574"/>
      </w:pPr>
      <w:rPr>
        <w:rFonts w:hint="default"/>
        <w:lang w:val="zh-CN" w:eastAsia="zh-CN" w:bidi="zh-CN"/>
      </w:rPr>
    </w:lvl>
    <w:lvl w:ilvl="7">
      <w:start w:val="0"/>
      <w:numFmt w:val="bullet"/>
      <w:lvlText w:val="•"/>
      <w:lvlJc w:val="left"/>
      <w:pPr>
        <w:ind w:left="8764" w:hanging="574"/>
      </w:pPr>
      <w:rPr>
        <w:rFonts w:hint="default"/>
        <w:lang w:val="zh-CN" w:eastAsia="zh-CN" w:bidi="zh-CN"/>
      </w:rPr>
    </w:lvl>
    <w:lvl w:ilvl="8">
      <w:start w:val="0"/>
      <w:numFmt w:val="bullet"/>
      <w:lvlText w:val="•"/>
      <w:lvlJc w:val="left"/>
      <w:pPr>
        <w:ind w:left="9811" w:hanging="574"/>
      </w:pPr>
      <w:rPr>
        <w:rFonts w:hint="default"/>
        <w:lang w:val="zh-CN" w:eastAsia="zh-CN" w:bidi="zh-CN"/>
      </w:rPr>
    </w:lvl>
  </w:abstractNum>
  <w:abstractNum w:abstractNumId="4">
    <w:multiLevelType w:val="hybridMultilevel"/>
    <w:lvl w:ilvl="0">
      <w:start w:val="4"/>
      <w:numFmt w:val="decimal"/>
      <w:lvlText w:val="%1"/>
      <w:lvlJc w:val="left"/>
      <w:pPr>
        <w:ind w:left="2397" w:hanging="420"/>
        <w:jc w:val="left"/>
      </w:pPr>
      <w:rPr>
        <w:rFonts w:hint="default" w:ascii="Times New Roman" w:hAnsi="Times New Roman" w:eastAsia="Times New Roman" w:cs="Times New Roman"/>
        <w:b/>
        <w:bCs/>
        <w:w w:val="100"/>
        <w:sz w:val="28"/>
        <w:szCs w:val="28"/>
        <w:lang w:val="zh-CN" w:eastAsia="zh-CN" w:bidi="zh-CN"/>
      </w:rPr>
    </w:lvl>
    <w:lvl w:ilvl="1">
      <w:start w:val="1"/>
      <w:numFmt w:val="decimal"/>
      <w:lvlText w:val="%1.%2"/>
      <w:lvlJc w:val="left"/>
      <w:pPr>
        <w:ind w:left="2472" w:hanging="574"/>
        <w:jc w:val="left"/>
      </w:pPr>
      <w:rPr>
        <w:rFonts w:hint="default" w:ascii="Arial" w:hAnsi="Arial" w:eastAsia="Arial" w:cs="Arial"/>
        <w:b/>
        <w:bCs/>
        <w:w w:val="99"/>
        <w:sz w:val="24"/>
        <w:szCs w:val="24"/>
        <w:lang w:val="zh-CN" w:eastAsia="zh-CN" w:bidi="zh-CN"/>
      </w:rPr>
    </w:lvl>
    <w:lvl w:ilvl="2">
      <w:start w:val="1"/>
      <w:numFmt w:val="decimal"/>
      <w:lvlText w:val="%1.%2.%3"/>
      <w:lvlJc w:val="left"/>
      <w:pPr>
        <w:ind w:left="2743" w:hanging="845"/>
        <w:jc w:val="left"/>
      </w:pPr>
      <w:rPr>
        <w:rFonts w:hint="default" w:ascii="黑体" w:hAnsi="黑体" w:eastAsia="黑体" w:cs="黑体"/>
        <w:b/>
        <w:bCs/>
        <w:w w:val="99"/>
        <w:sz w:val="24"/>
        <w:szCs w:val="24"/>
        <w:lang w:val="zh-CN" w:eastAsia="zh-CN" w:bidi="zh-CN"/>
      </w:rPr>
    </w:lvl>
    <w:lvl w:ilvl="3">
      <w:start w:val="0"/>
      <w:numFmt w:val="bullet"/>
      <w:lvlText w:val="•"/>
      <w:lvlJc w:val="left"/>
      <w:pPr>
        <w:ind w:left="3885" w:hanging="845"/>
      </w:pPr>
      <w:rPr>
        <w:rFonts w:hint="default"/>
        <w:lang w:val="zh-CN" w:eastAsia="zh-CN" w:bidi="zh-CN"/>
      </w:rPr>
    </w:lvl>
    <w:lvl w:ilvl="4">
      <w:start w:val="0"/>
      <w:numFmt w:val="bullet"/>
      <w:lvlText w:val="•"/>
      <w:lvlJc w:val="left"/>
      <w:pPr>
        <w:ind w:left="5031" w:hanging="845"/>
      </w:pPr>
      <w:rPr>
        <w:rFonts w:hint="default"/>
        <w:lang w:val="zh-CN" w:eastAsia="zh-CN" w:bidi="zh-CN"/>
      </w:rPr>
    </w:lvl>
    <w:lvl w:ilvl="5">
      <w:start w:val="0"/>
      <w:numFmt w:val="bullet"/>
      <w:lvlText w:val="•"/>
      <w:lvlJc w:val="left"/>
      <w:pPr>
        <w:ind w:left="6177" w:hanging="845"/>
      </w:pPr>
      <w:rPr>
        <w:rFonts w:hint="default"/>
        <w:lang w:val="zh-CN" w:eastAsia="zh-CN" w:bidi="zh-CN"/>
      </w:rPr>
    </w:lvl>
    <w:lvl w:ilvl="6">
      <w:start w:val="0"/>
      <w:numFmt w:val="bullet"/>
      <w:lvlText w:val="•"/>
      <w:lvlJc w:val="left"/>
      <w:pPr>
        <w:ind w:left="7323" w:hanging="845"/>
      </w:pPr>
      <w:rPr>
        <w:rFonts w:hint="default"/>
        <w:lang w:val="zh-CN" w:eastAsia="zh-CN" w:bidi="zh-CN"/>
      </w:rPr>
    </w:lvl>
    <w:lvl w:ilvl="7">
      <w:start w:val="0"/>
      <w:numFmt w:val="bullet"/>
      <w:lvlText w:val="•"/>
      <w:lvlJc w:val="left"/>
      <w:pPr>
        <w:ind w:left="8468" w:hanging="845"/>
      </w:pPr>
      <w:rPr>
        <w:rFonts w:hint="default"/>
        <w:lang w:val="zh-CN" w:eastAsia="zh-CN" w:bidi="zh-CN"/>
      </w:rPr>
    </w:lvl>
    <w:lvl w:ilvl="8">
      <w:start w:val="0"/>
      <w:numFmt w:val="bullet"/>
      <w:lvlText w:val="•"/>
      <w:lvlJc w:val="left"/>
      <w:pPr>
        <w:ind w:left="9614" w:hanging="845"/>
      </w:pPr>
      <w:rPr>
        <w:rFonts w:hint="default"/>
        <w:lang w:val="zh-CN" w:eastAsia="zh-CN" w:bidi="zh-CN"/>
      </w:rPr>
    </w:lvl>
  </w:abstractNum>
  <w:abstractNum w:abstractNumId="2">
    <w:multiLevelType w:val="hybridMultilevel"/>
    <w:lvl w:ilvl="0">
      <w:start w:val="3"/>
      <w:numFmt w:val="decimal"/>
      <w:lvlText w:val="%1"/>
      <w:lvlJc w:val="left"/>
      <w:pPr>
        <w:ind w:left="2397" w:hanging="420"/>
        <w:jc w:val="left"/>
      </w:pPr>
      <w:rPr>
        <w:rFonts w:hint="default" w:ascii="Times New Roman" w:hAnsi="Times New Roman" w:eastAsia="Times New Roman" w:cs="Times New Roman"/>
        <w:b/>
        <w:bCs/>
        <w:w w:val="100"/>
        <w:sz w:val="28"/>
        <w:szCs w:val="28"/>
        <w:lang w:val="zh-CN" w:eastAsia="zh-CN" w:bidi="zh-CN"/>
      </w:rPr>
    </w:lvl>
    <w:lvl w:ilvl="1">
      <w:start w:val="1"/>
      <w:numFmt w:val="decimal"/>
      <w:lvlText w:val="%1.%2"/>
      <w:lvlJc w:val="left"/>
      <w:pPr>
        <w:ind w:left="2472" w:hanging="574"/>
        <w:jc w:val="left"/>
      </w:pPr>
      <w:rPr>
        <w:rFonts w:hint="default" w:ascii="Arial" w:hAnsi="Arial" w:eastAsia="Arial" w:cs="Arial"/>
        <w:b/>
        <w:bCs/>
        <w:w w:val="99"/>
        <w:sz w:val="24"/>
        <w:szCs w:val="24"/>
        <w:lang w:val="zh-CN" w:eastAsia="zh-CN" w:bidi="zh-CN"/>
      </w:rPr>
    </w:lvl>
    <w:lvl w:ilvl="2">
      <w:start w:val="1"/>
      <w:numFmt w:val="decimal"/>
      <w:lvlText w:val="%1.%2.%3"/>
      <w:lvlJc w:val="left"/>
      <w:pPr>
        <w:ind w:left="2743" w:hanging="845"/>
        <w:jc w:val="left"/>
      </w:pPr>
      <w:rPr>
        <w:rFonts w:hint="default" w:ascii="黑体" w:hAnsi="黑体" w:eastAsia="黑体" w:cs="黑体"/>
        <w:b/>
        <w:bCs/>
        <w:w w:val="99"/>
        <w:sz w:val="24"/>
        <w:szCs w:val="24"/>
        <w:lang w:val="zh-CN" w:eastAsia="zh-CN" w:bidi="zh-CN"/>
      </w:rPr>
    </w:lvl>
    <w:lvl w:ilvl="3">
      <w:start w:val="0"/>
      <w:numFmt w:val="bullet"/>
      <w:lvlText w:val="•"/>
      <w:lvlJc w:val="left"/>
      <w:pPr>
        <w:ind w:left="3885" w:hanging="845"/>
      </w:pPr>
      <w:rPr>
        <w:rFonts w:hint="default"/>
        <w:lang w:val="zh-CN" w:eastAsia="zh-CN" w:bidi="zh-CN"/>
      </w:rPr>
    </w:lvl>
    <w:lvl w:ilvl="4">
      <w:start w:val="0"/>
      <w:numFmt w:val="bullet"/>
      <w:lvlText w:val="•"/>
      <w:lvlJc w:val="left"/>
      <w:pPr>
        <w:ind w:left="5031" w:hanging="845"/>
      </w:pPr>
      <w:rPr>
        <w:rFonts w:hint="default"/>
        <w:lang w:val="zh-CN" w:eastAsia="zh-CN" w:bidi="zh-CN"/>
      </w:rPr>
    </w:lvl>
    <w:lvl w:ilvl="5">
      <w:start w:val="0"/>
      <w:numFmt w:val="bullet"/>
      <w:lvlText w:val="•"/>
      <w:lvlJc w:val="left"/>
      <w:pPr>
        <w:ind w:left="6177" w:hanging="845"/>
      </w:pPr>
      <w:rPr>
        <w:rFonts w:hint="default"/>
        <w:lang w:val="zh-CN" w:eastAsia="zh-CN" w:bidi="zh-CN"/>
      </w:rPr>
    </w:lvl>
    <w:lvl w:ilvl="6">
      <w:start w:val="0"/>
      <w:numFmt w:val="bullet"/>
      <w:lvlText w:val="•"/>
      <w:lvlJc w:val="left"/>
      <w:pPr>
        <w:ind w:left="7323" w:hanging="845"/>
      </w:pPr>
      <w:rPr>
        <w:rFonts w:hint="default"/>
        <w:lang w:val="zh-CN" w:eastAsia="zh-CN" w:bidi="zh-CN"/>
      </w:rPr>
    </w:lvl>
    <w:lvl w:ilvl="7">
      <w:start w:val="0"/>
      <w:numFmt w:val="bullet"/>
      <w:lvlText w:val="•"/>
      <w:lvlJc w:val="left"/>
      <w:pPr>
        <w:ind w:left="8468" w:hanging="845"/>
      </w:pPr>
      <w:rPr>
        <w:rFonts w:hint="default"/>
        <w:lang w:val="zh-CN" w:eastAsia="zh-CN" w:bidi="zh-CN"/>
      </w:rPr>
    </w:lvl>
    <w:lvl w:ilvl="8">
      <w:start w:val="0"/>
      <w:numFmt w:val="bullet"/>
      <w:lvlText w:val="•"/>
      <w:lvlJc w:val="left"/>
      <w:pPr>
        <w:ind w:left="9614" w:hanging="845"/>
      </w:pPr>
      <w:rPr>
        <w:rFonts w:hint="default"/>
        <w:lang w:val="zh-CN" w:eastAsia="zh-CN" w:bidi="zh-CN"/>
      </w:rPr>
    </w:lvl>
  </w:abstractNum>
  <w:abstractNum w:abstractNumId="10">
    <w:multiLevelType w:val="hybridMultilevel"/>
    <w:lvl w:ilvl="0">
      <w:start w:val="1"/>
      <w:numFmt w:val="decimal"/>
      <w:lvlText w:val="%1."/>
      <w:lvlJc w:val="left"/>
      <w:pPr>
        <w:ind w:left="1418" w:hanging="361"/>
        <w:jc w:val="left"/>
      </w:pPr>
      <w:rPr>
        <w:rFonts w:hint="default" w:ascii="宋体" w:hAnsi="宋体" w:eastAsia="宋体" w:cs="宋体"/>
        <w:spacing w:val="-27"/>
        <w:w w:val="100"/>
        <w:sz w:val="22"/>
        <w:szCs w:val="22"/>
        <w:lang w:val="zh-CN" w:eastAsia="zh-CN" w:bidi="zh-CN"/>
      </w:rPr>
    </w:lvl>
    <w:lvl w:ilvl="1">
      <w:start w:val="0"/>
      <w:numFmt w:val="bullet"/>
      <w:lvlText w:val="•"/>
      <w:lvlJc w:val="left"/>
      <w:pPr>
        <w:ind w:left="2468" w:hanging="361"/>
      </w:pPr>
      <w:rPr>
        <w:rFonts w:hint="default"/>
        <w:lang w:val="zh-CN" w:eastAsia="zh-CN" w:bidi="zh-CN"/>
      </w:rPr>
    </w:lvl>
    <w:lvl w:ilvl="2">
      <w:start w:val="0"/>
      <w:numFmt w:val="bullet"/>
      <w:lvlText w:val="•"/>
      <w:lvlJc w:val="left"/>
      <w:pPr>
        <w:ind w:left="3517" w:hanging="361"/>
      </w:pPr>
      <w:rPr>
        <w:rFonts w:hint="default"/>
        <w:lang w:val="zh-CN" w:eastAsia="zh-CN" w:bidi="zh-CN"/>
      </w:rPr>
    </w:lvl>
    <w:lvl w:ilvl="3">
      <w:start w:val="0"/>
      <w:numFmt w:val="bullet"/>
      <w:lvlText w:val="•"/>
      <w:lvlJc w:val="left"/>
      <w:pPr>
        <w:ind w:left="4565" w:hanging="361"/>
      </w:pPr>
      <w:rPr>
        <w:rFonts w:hint="default"/>
        <w:lang w:val="zh-CN" w:eastAsia="zh-CN" w:bidi="zh-CN"/>
      </w:rPr>
    </w:lvl>
    <w:lvl w:ilvl="4">
      <w:start w:val="0"/>
      <w:numFmt w:val="bullet"/>
      <w:lvlText w:val="•"/>
      <w:lvlJc w:val="left"/>
      <w:pPr>
        <w:ind w:left="5614" w:hanging="361"/>
      </w:pPr>
      <w:rPr>
        <w:rFonts w:hint="default"/>
        <w:lang w:val="zh-CN" w:eastAsia="zh-CN" w:bidi="zh-CN"/>
      </w:rPr>
    </w:lvl>
    <w:lvl w:ilvl="5">
      <w:start w:val="0"/>
      <w:numFmt w:val="bullet"/>
      <w:lvlText w:val="•"/>
      <w:lvlJc w:val="left"/>
      <w:pPr>
        <w:ind w:left="6663" w:hanging="361"/>
      </w:pPr>
      <w:rPr>
        <w:rFonts w:hint="default"/>
        <w:lang w:val="zh-CN" w:eastAsia="zh-CN" w:bidi="zh-CN"/>
      </w:rPr>
    </w:lvl>
    <w:lvl w:ilvl="6">
      <w:start w:val="0"/>
      <w:numFmt w:val="bullet"/>
      <w:lvlText w:val="•"/>
      <w:lvlJc w:val="left"/>
      <w:pPr>
        <w:ind w:left="7711" w:hanging="361"/>
      </w:pPr>
      <w:rPr>
        <w:rFonts w:hint="default"/>
        <w:lang w:val="zh-CN" w:eastAsia="zh-CN" w:bidi="zh-CN"/>
      </w:rPr>
    </w:lvl>
    <w:lvl w:ilvl="7">
      <w:start w:val="0"/>
      <w:numFmt w:val="bullet"/>
      <w:lvlText w:val="•"/>
      <w:lvlJc w:val="left"/>
      <w:pPr>
        <w:ind w:left="8760" w:hanging="361"/>
      </w:pPr>
      <w:rPr>
        <w:rFonts w:hint="default"/>
        <w:lang w:val="zh-CN" w:eastAsia="zh-CN" w:bidi="zh-CN"/>
      </w:rPr>
    </w:lvl>
    <w:lvl w:ilvl="8">
      <w:start w:val="0"/>
      <w:numFmt w:val="bullet"/>
      <w:lvlText w:val="•"/>
      <w:lvlJc w:val="left"/>
      <w:pPr>
        <w:ind w:left="9808" w:hanging="361"/>
      </w:pPr>
      <w:rPr>
        <w:rFonts w:hint="default"/>
        <w:lang w:val="zh-CN" w:eastAsia="zh-CN" w:bidi="zh-CN"/>
      </w:rPr>
    </w:lvl>
  </w:abstractNum>
  <w:abstractNum w:abstractNumId="9">
    <w:multiLevelType w:val="hybridMultilevel"/>
    <w:lvl w:ilvl="0">
      <w:start w:val="1"/>
      <w:numFmt w:val="decimal"/>
      <w:lvlText w:val="%1."/>
      <w:lvlJc w:val="left"/>
      <w:pPr>
        <w:ind w:left="1418" w:hanging="361"/>
        <w:jc w:val="left"/>
      </w:pPr>
      <w:rPr>
        <w:rFonts w:hint="default" w:ascii="宋体" w:hAnsi="宋体" w:eastAsia="宋体" w:cs="宋体"/>
        <w:spacing w:val="-61"/>
        <w:w w:val="100"/>
        <w:sz w:val="22"/>
        <w:szCs w:val="22"/>
        <w:lang w:val="zh-CN" w:eastAsia="zh-CN" w:bidi="zh-CN"/>
      </w:rPr>
    </w:lvl>
    <w:lvl w:ilvl="1">
      <w:start w:val="0"/>
      <w:numFmt w:val="bullet"/>
      <w:lvlText w:val="•"/>
      <w:lvlJc w:val="left"/>
      <w:pPr>
        <w:ind w:left="2468" w:hanging="361"/>
      </w:pPr>
      <w:rPr>
        <w:rFonts w:hint="default"/>
        <w:lang w:val="zh-CN" w:eastAsia="zh-CN" w:bidi="zh-CN"/>
      </w:rPr>
    </w:lvl>
    <w:lvl w:ilvl="2">
      <w:start w:val="0"/>
      <w:numFmt w:val="bullet"/>
      <w:lvlText w:val="•"/>
      <w:lvlJc w:val="left"/>
      <w:pPr>
        <w:ind w:left="3517" w:hanging="361"/>
      </w:pPr>
      <w:rPr>
        <w:rFonts w:hint="default"/>
        <w:lang w:val="zh-CN" w:eastAsia="zh-CN" w:bidi="zh-CN"/>
      </w:rPr>
    </w:lvl>
    <w:lvl w:ilvl="3">
      <w:start w:val="0"/>
      <w:numFmt w:val="bullet"/>
      <w:lvlText w:val="•"/>
      <w:lvlJc w:val="left"/>
      <w:pPr>
        <w:ind w:left="4565" w:hanging="361"/>
      </w:pPr>
      <w:rPr>
        <w:rFonts w:hint="default"/>
        <w:lang w:val="zh-CN" w:eastAsia="zh-CN" w:bidi="zh-CN"/>
      </w:rPr>
    </w:lvl>
    <w:lvl w:ilvl="4">
      <w:start w:val="0"/>
      <w:numFmt w:val="bullet"/>
      <w:lvlText w:val="•"/>
      <w:lvlJc w:val="left"/>
      <w:pPr>
        <w:ind w:left="5614" w:hanging="361"/>
      </w:pPr>
      <w:rPr>
        <w:rFonts w:hint="default"/>
        <w:lang w:val="zh-CN" w:eastAsia="zh-CN" w:bidi="zh-CN"/>
      </w:rPr>
    </w:lvl>
    <w:lvl w:ilvl="5">
      <w:start w:val="0"/>
      <w:numFmt w:val="bullet"/>
      <w:lvlText w:val="•"/>
      <w:lvlJc w:val="left"/>
      <w:pPr>
        <w:ind w:left="6663" w:hanging="361"/>
      </w:pPr>
      <w:rPr>
        <w:rFonts w:hint="default"/>
        <w:lang w:val="zh-CN" w:eastAsia="zh-CN" w:bidi="zh-CN"/>
      </w:rPr>
    </w:lvl>
    <w:lvl w:ilvl="6">
      <w:start w:val="0"/>
      <w:numFmt w:val="bullet"/>
      <w:lvlText w:val="•"/>
      <w:lvlJc w:val="left"/>
      <w:pPr>
        <w:ind w:left="7711" w:hanging="361"/>
      </w:pPr>
      <w:rPr>
        <w:rFonts w:hint="default"/>
        <w:lang w:val="zh-CN" w:eastAsia="zh-CN" w:bidi="zh-CN"/>
      </w:rPr>
    </w:lvl>
    <w:lvl w:ilvl="7">
      <w:start w:val="0"/>
      <w:numFmt w:val="bullet"/>
      <w:lvlText w:val="•"/>
      <w:lvlJc w:val="left"/>
      <w:pPr>
        <w:ind w:left="8760" w:hanging="361"/>
      </w:pPr>
      <w:rPr>
        <w:rFonts w:hint="default"/>
        <w:lang w:val="zh-CN" w:eastAsia="zh-CN" w:bidi="zh-CN"/>
      </w:rPr>
    </w:lvl>
    <w:lvl w:ilvl="8">
      <w:start w:val="0"/>
      <w:numFmt w:val="bullet"/>
      <w:lvlText w:val="•"/>
      <w:lvlJc w:val="left"/>
      <w:pPr>
        <w:ind w:left="9808" w:hanging="361"/>
      </w:pPr>
      <w:rPr>
        <w:rFonts w:hint="default"/>
        <w:lang w:val="zh-CN" w:eastAsia="zh-CN" w:bidi="zh-CN"/>
      </w:rPr>
    </w:lvl>
  </w:abstractNum>
  <w:abstractNum w:abstractNumId="8">
    <w:multiLevelType w:val="hybridMultilevel"/>
    <w:lvl w:ilvl="0">
      <w:start w:val="4"/>
      <w:numFmt w:val="decimal"/>
      <w:lvlText w:val="%1."/>
      <w:lvlJc w:val="left"/>
      <w:pPr>
        <w:ind w:left="112" w:hanging="231"/>
        <w:jc w:val="left"/>
      </w:pPr>
      <w:rPr>
        <w:rFonts w:hint="default" w:ascii="Times New Roman" w:hAnsi="Times New Roman" w:eastAsia="Times New Roman" w:cs="Times New Roman"/>
        <w:spacing w:val="2"/>
        <w:w w:val="99"/>
        <w:sz w:val="13"/>
        <w:szCs w:val="13"/>
        <w:lang w:val="zh-CN" w:eastAsia="zh-CN" w:bidi="zh-CN"/>
      </w:rPr>
    </w:lvl>
    <w:lvl w:ilvl="1">
      <w:start w:val="0"/>
      <w:numFmt w:val="bullet"/>
      <w:lvlText w:val="•"/>
      <w:lvlJc w:val="left"/>
      <w:pPr>
        <w:ind w:left="303" w:hanging="231"/>
      </w:pPr>
      <w:rPr>
        <w:rFonts w:hint="default"/>
        <w:lang w:val="zh-CN" w:eastAsia="zh-CN" w:bidi="zh-CN"/>
      </w:rPr>
    </w:lvl>
    <w:lvl w:ilvl="2">
      <w:start w:val="0"/>
      <w:numFmt w:val="bullet"/>
      <w:lvlText w:val="•"/>
      <w:lvlJc w:val="left"/>
      <w:pPr>
        <w:ind w:left="487" w:hanging="231"/>
      </w:pPr>
      <w:rPr>
        <w:rFonts w:hint="default"/>
        <w:lang w:val="zh-CN" w:eastAsia="zh-CN" w:bidi="zh-CN"/>
      </w:rPr>
    </w:lvl>
    <w:lvl w:ilvl="3">
      <w:start w:val="0"/>
      <w:numFmt w:val="bullet"/>
      <w:lvlText w:val="•"/>
      <w:lvlJc w:val="left"/>
      <w:pPr>
        <w:ind w:left="671" w:hanging="231"/>
      </w:pPr>
      <w:rPr>
        <w:rFonts w:hint="default"/>
        <w:lang w:val="zh-CN" w:eastAsia="zh-CN" w:bidi="zh-CN"/>
      </w:rPr>
    </w:lvl>
    <w:lvl w:ilvl="4">
      <w:start w:val="0"/>
      <w:numFmt w:val="bullet"/>
      <w:lvlText w:val="•"/>
      <w:lvlJc w:val="left"/>
      <w:pPr>
        <w:ind w:left="855" w:hanging="231"/>
      </w:pPr>
      <w:rPr>
        <w:rFonts w:hint="default"/>
        <w:lang w:val="zh-CN" w:eastAsia="zh-CN" w:bidi="zh-CN"/>
      </w:rPr>
    </w:lvl>
    <w:lvl w:ilvl="5">
      <w:start w:val="0"/>
      <w:numFmt w:val="bullet"/>
      <w:lvlText w:val="•"/>
      <w:lvlJc w:val="left"/>
      <w:pPr>
        <w:ind w:left="1039" w:hanging="231"/>
      </w:pPr>
      <w:rPr>
        <w:rFonts w:hint="default"/>
        <w:lang w:val="zh-CN" w:eastAsia="zh-CN" w:bidi="zh-CN"/>
      </w:rPr>
    </w:lvl>
    <w:lvl w:ilvl="6">
      <w:start w:val="0"/>
      <w:numFmt w:val="bullet"/>
      <w:lvlText w:val="•"/>
      <w:lvlJc w:val="left"/>
      <w:pPr>
        <w:ind w:left="1223" w:hanging="231"/>
      </w:pPr>
      <w:rPr>
        <w:rFonts w:hint="default"/>
        <w:lang w:val="zh-CN" w:eastAsia="zh-CN" w:bidi="zh-CN"/>
      </w:rPr>
    </w:lvl>
    <w:lvl w:ilvl="7">
      <w:start w:val="0"/>
      <w:numFmt w:val="bullet"/>
      <w:lvlText w:val="•"/>
      <w:lvlJc w:val="left"/>
      <w:pPr>
        <w:ind w:left="1407" w:hanging="231"/>
      </w:pPr>
      <w:rPr>
        <w:rFonts w:hint="default"/>
        <w:lang w:val="zh-CN" w:eastAsia="zh-CN" w:bidi="zh-CN"/>
      </w:rPr>
    </w:lvl>
    <w:lvl w:ilvl="8">
      <w:start w:val="0"/>
      <w:numFmt w:val="bullet"/>
      <w:lvlText w:val="•"/>
      <w:lvlJc w:val="left"/>
      <w:pPr>
        <w:ind w:left="1591" w:hanging="231"/>
      </w:pPr>
      <w:rPr>
        <w:rFonts w:hint="default"/>
        <w:lang w:val="zh-CN" w:eastAsia="zh-CN" w:bidi="zh-CN"/>
      </w:rPr>
    </w:lvl>
  </w:abstractNum>
  <w:abstractNum w:abstractNumId="7">
    <w:multiLevelType w:val="hybridMultilevel"/>
    <w:lvl w:ilvl="0">
      <w:start w:val="8"/>
      <w:numFmt w:val="decimal"/>
      <w:lvlText w:val="%1"/>
      <w:lvlJc w:val="left"/>
      <w:pPr>
        <w:ind w:left="2397" w:hanging="420"/>
        <w:jc w:val="left"/>
      </w:pPr>
      <w:rPr>
        <w:rFonts w:hint="default" w:ascii="Times New Roman" w:hAnsi="Times New Roman" w:eastAsia="Times New Roman" w:cs="Times New Roman"/>
        <w:b/>
        <w:bCs/>
        <w:w w:val="100"/>
        <w:sz w:val="28"/>
        <w:szCs w:val="28"/>
        <w:lang w:val="zh-CN" w:eastAsia="zh-CN" w:bidi="zh-CN"/>
      </w:rPr>
    </w:lvl>
    <w:lvl w:ilvl="1">
      <w:start w:val="1"/>
      <w:numFmt w:val="decimal"/>
      <w:lvlText w:val="%1.%2"/>
      <w:lvlJc w:val="left"/>
      <w:pPr>
        <w:ind w:left="2472" w:hanging="574"/>
        <w:jc w:val="left"/>
      </w:pPr>
      <w:rPr>
        <w:rFonts w:hint="default" w:ascii="Arial" w:hAnsi="Arial" w:eastAsia="Arial" w:cs="Arial"/>
        <w:b/>
        <w:bCs/>
        <w:w w:val="99"/>
        <w:sz w:val="24"/>
        <w:szCs w:val="24"/>
        <w:lang w:val="zh-CN" w:eastAsia="zh-CN" w:bidi="zh-CN"/>
      </w:rPr>
    </w:lvl>
    <w:lvl w:ilvl="2">
      <w:start w:val="1"/>
      <w:numFmt w:val="decimal"/>
      <w:lvlText w:val="%1.%2.%3"/>
      <w:lvlJc w:val="left"/>
      <w:pPr>
        <w:ind w:left="2743" w:hanging="845"/>
        <w:jc w:val="left"/>
      </w:pPr>
      <w:rPr>
        <w:rFonts w:hint="default" w:ascii="黑体" w:hAnsi="黑体" w:eastAsia="黑体" w:cs="黑体"/>
        <w:b/>
        <w:bCs/>
        <w:w w:val="99"/>
        <w:sz w:val="24"/>
        <w:szCs w:val="24"/>
        <w:lang w:val="zh-CN" w:eastAsia="zh-CN" w:bidi="zh-CN"/>
      </w:rPr>
    </w:lvl>
    <w:lvl w:ilvl="3">
      <w:start w:val="0"/>
      <w:numFmt w:val="bullet"/>
      <w:lvlText w:val="•"/>
      <w:lvlJc w:val="left"/>
      <w:pPr>
        <w:ind w:left="3885" w:hanging="845"/>
      </w:pPr>
      <w:rPr>
        <w:rFonts w:hint="default"/>
        <w:lang w:val="zh-CN" w:eastAsia="zh-CN" w:bidi="zh-CN"/>
      </w:rPr>
    </w:lvl>
    <w:lvl w:ilvl="4">
      <w:start w:val="0"/>
      <w:numFmt w:val="bullet"/>
      <w:lvlText w:val="•"/>
      <w:lvlJc w:val="left"/>
      <w:pPr>
        <w:ind w:left="5031" w:hanging="845"/>
      </w:pPr>
      <w:rPr>
        <w:rFonts w:hint="default"/>
        <w:lang w:val="zh-CN" w:eastAsia="zh-CN" w:bidi="zh-CN"/>
      </w:rPr>
    </w:lvl>
    <w:lvl w:ilvl="5">
      <w:start w:val="0"/>
      <w:numFmt w:val="bullet"/>
      <w:lvlText w:val="•"/>
      <w:lvlJc w:val="left"/>
      <w:pPr>
        <w:ind w:left="6177" w:hanging="845"/>
      </w:pPr>
      <w:rPr>
        <w:rFonts w:hint="default"/>
        <w:lang w:val="zh-CN" w:eastAsia="zh-CN" w:bidi="zh-CN"/>
      </w:rPr>
    </w:lvl>
    <w:lvl w:ilvl="6">
      <w:start w:val="0"/>
      <w:numFmt w:val="bullet"/>
      <w:lvlText w:val="•"/>
      <w:lvlJc w:val="left"/>
      <w:pPr>
        <w:ind w:left="7323" w:hanging="845"/>
      </w:pPr>
      <w:rPr>
        <w:rFonts w:hint="default"/>
        <w:lang w:val="zh-CN" w:eastAsia="zh-CN" w:bidi="zh-CN"/>
      </w:rPr>
    </w:lvl>
    <w:lvl w:ilvl="7">
      <w:start w:val="0"/>
      <w:numFmt w:val="bullet"/>
      <w:lvlText w:val="•"/>
      <w:lvlJc w:val="left"/>
      <w:pPr>
        <w:ind w:left="8468" w:hanging="845"/>
      </w:pPr>
      <w:rPr>
        <w:rFonts w:hint="default"/>
        <w:lang w:val="zh-CN" w:eastAsia="zh-CN" w:bidi="zh-CN"/>
      </w:rPr>
    </w:lvl>
    <w:lvl w:ilvl="8">
      <w:start w:val="0"/>
      <w:numFmt w:val="bullet"/>
      <w:lvlText w:val="•"/>
      <w:lvlJc w:val="left"/>
      <w:pPr>
        <w:ind w:left="9614" w:hanging="845"/>
      </w:pPr>
      <w:rPr>
        <w:rFonts w:hint="default"/>
        <w:lang w:val="zh-CN" w:eastAsia="zh-CN" w:bidi="zh-CN"/>
      </w:rPr>
    </w:lvl>
  </w:abstractNum>
  <w:abstractNum w:abstractNumId="6">
    <w:multiLevelType w:val="hybridMultilevel"/>
    <w:lvl w:ilvl="0">
      <w:start w:val="1"/>
      <w:numFmt w:val="decimal"/>
      <w:lvlText w:val="%1."/>
      <w:lvlJc w:val="left"/>
      <w:pPr>
        <w:ind w:left="111" w:hanging="273"/>
        <w:jc w:val="left"/>
      </w:pPr>
      <w:rPr>
        <w:rFonts w:hint="default" w:ascii="Times New Roman" w:hAnsi="Times New Roman" w:eastAsia="Times New Roman" w:cs="Times New Roman"/>
        <w:spacing w:val="-20"/>
        <w:w w:val="100"/>
        <w:sz w:val="16"/>
        <w:szCs w:val="16"/>
        <w:lang w:val="zh-CN" w:eastAsia="zh-CN" w:bidi="zh-CN"/>
      </w:rPr>
    </w:lvl>
    <w:lvl w:ilvl="1">
      <w:start w:val="0"/>
      <w:numFmt w:val="bullet"/>
      <w:lvlText w:val="•"/>
      <w:lvlJc w:val="left"/>
      <w:pPr>
        <w:ind w:left="332" w:hanging="273"/>
      </w:pPr>
      <w:rPr>
        <w:rFonts w:hint="default"/>
        <w:lang w:val="zh-CN" w:eastAsia="zh-CN" w:bidi="zh-CN"/>
      </w:rPr>
    </w:lvl>
    <w:lvl w:ilvl="2">
      <w:start w:val="0"/>
      <w:numFmt w:val="bullet"/>
      <w:lvlText w:val="•"/>
      <w:lvlJc w:val="left"/>
      <w:pPr>
        <w:ind w:left="544" w:hanging="273"/>
      </w:pPr>
      <w:rPr>
        <w:rFonts w:hint="default"/>
        <w:lang w:val="zh-CN" w:eastAsia="zh-CN" w:bidi="zh-CN"/>
      </w:rPr>
    </w:lvl>
    <w:lvl w:ilvl="3">
      <w:start w:val="0"/>
      <w:numFmt w:val="bullet"/>
      <w:lvlText w:val="•"/>
      <w:lvlJc w:val="left"/>
      <w:pPr>
        <w:ind w:left="756" w:hanging="273"/>
      </w:pPr>
      <w:rPr>
        <w:rFonts w:hint="default"/>
        <w:lang w:val="zh-CN" w:eastAsia="zh-CN" w:bidi="zh-CN"/>
      </w:rPr>
    </w:lvl>
    <w:lvl w:ilvl="4">
      <w:start w:val="0"/>
      <w:numFmt w:val="bullet"/>
      <w:lvlText w:val="•"/>
      <w:lvlJc w:val="left"/>
      <w:pPr>
        <w:ind w:left="969" w:hanging="273"/>
      </w:pPr>
      <w:rPr>
        <w:rFonts w:hint="default"/>
        <w:lang w:val="zh-CN" w:eastAsia="zh-CN" w:bidi="zh-CN"/>
      </w:rPr>
    </w:lvl>
    <w:lvl w:ilvl="5">
      <w:start w:val="0"/>
      <w:numFmt w:val="bullet"/>
      <w:lvlText w:val="•"/>
      <w:lvlJc w:val="left"/>
      <w:pPr>
        <w:ind w:left="1181" w:hanging="273"/>
      </w:pPr>
      <w:rPr>
        <w:rFonts w:hint="default"/>
        <w:lang w:val="zh-CN" w:eastAsia="zh-CN" w:bidi="zh-CN"/>
      </w:rPr>
    </w:lvl>
    <w:lvl w:ilvl="6">
      <w:start w:val="0"/>
      <w:numFmt w:val="bullet"/>
      <w:lvlText w:val="•"/>
      <w:lvlJc w:val="left"/>
      <w:pPr>
        <w:ind w:left="1393" w:hanging="273"/>
      </w:pPr>
      <w:rPr>
        <w:rFonts w:hint="default"/>
        <w:lang w:val="zh-CN" w:eastAsia="zh-CN" w:bidi="zh-CN"/>
      </w:rPr>
    </w:lvl>
    <w:lvl w:ilvl="7">
      <w:start w:val="0"/>
      <w:numFmt w:val="bullet"/>
      <w:lvlText w:val="•"/>
      <w:lvlJc w:val="left"/>
      <w:pPr>
        <w:ind w:left="1606" w:hanging="273"/>
      </w:pPr>
      <w:rPr>
        <w:rFonts w:hint="default"/>
        <w:lang w:val="zh-CN" w:eastAsia="zh-CN" w:bidi="zh-CN"/>
      </w:rPr>
    </w:lvl>
    <w:lvl w:ilvl="8">
      <w:start w:val="0"/>
      <w:numFmt w:val="bullet"/>
      <w:lvlText w:val="•"/>
      <w:lvlJc w:val="left"/>
      <w:pPr>
        <w:ind w:left="1818" w:hanging="273"/>
      </w:pPr>
      <w:rPr>
        <w:rFonts w:hint="default"/>
        <w:lang w:val="zh-CN" w:eastAsia="zh-CN" w:bidi="zh-CN"/>
      </w:rPr>
    </w:lvl>
  </w:abstractNum>
  <w:abstractNum w:abstractNumId="3">
    <w:multiLevelType w:val="hybridMultilevel"/>
    <w:lvl w:ilvl="0">
      <w:start w:val="16"/>
      <w:numFmt w:val="decimal"/>
      <w:lvlText w:val="%1"/>
      <w:lvlJc w:val="left"/>
      <w:pPr>
        <w:ind w:left="1718" w:hanging="300"/>
        <w:jc w:val="left"/>
      </w:pPr>
      <w:rPr>
        <w:rFonts w:hint="default" w:ascii="宋体" w:hAnsi="宋体" w:eastAsia="宋体" w:cs="宋体"/>
        <w:w w:val="100"/>
        <w:sz w:val="24"/>
        <w:szCs w:val="24"/>
        <w:lang w:val="zh-CN" w:eastAsia="zh-CN" w:bidi="zh-CN"/>
      </w:rPr>
    </w:lvl>
    <w:lvl w:ilvl="1">
      <w:start w:val="0"/>
      <w:numFmt w:val="bullet"/>
      <w:lvlText w:val="•"/>
      <w:lvlJc w:val="left"/>
      <w:pPr>
        <w:ind w:left="1720" w:hanging="300"/>
      </w:pPr>
      <w:rPr>
        <w:rFonts w:hint="default"/>
        <w:lang w:val="zh-CN" w:eastAsia="zh-CN" w:bidi="zh-CN"/>
      </w:rPr>
    </w:lvl>
    <w:lvl w:ilvl="2">
      <w:start w:val="0"/>
      <w:numFmt w:val="bullet"/>
      <w:lvlText w:val="•"/>
      <w:lvlJc w:val="left"/>
      <w:pPr>
        <w:ind w:left="2851" w:hanging="300"/>
      </w:pPr>
      <w:rPr>
        <w:rFonts w:hint="default"/>
        <w:lang w:val="zh-CN" w:eastAsia="zh-CN" w:bidi="zh-CN"/>
      </w:rPr>
    </w:lvl>
    <w:lvl w:ilvl="3">
      <w:start w:val="0"/>
      <w:numFmt w:val="bullet"/>
      <w:lvlText w:val="•"/>
      <w:lvlJc w:val="left"/>
      <w:pPr>
        <w:ind w:left="3983" w:hanging="300"/>
      </w:pPr>
      <w:rPr>
        <w:rFonts w:hint="default"/>
        <w:lang w:val="zh-CN" w:eastAsia="zh-CN" w:bidi="zh-CN"/>
      </w:rPr>
    </w:lvl>
    <w:lvl w:ilvl="4">
      <w:start w:val="0"/>
      <w:numFmt w:val="bullet"/>
      <w:lvlText w:val="•"/>
      <w:lvlJc w:val="left"/>
      <w:pPr>
        <w:ind w:left="5115" w:hanging="300"/>
      </w:pPr>
      <w:rPr>
        <w:rFonts w:hint="default"/>
        <w:lang w:val="zh-CN" w:eastAsia="zh-CN" w:bidi="zh-CN"/>
      </w:rPr>
    </w:lvl>
    <w:lvl w:ilvl="5">
      <w:start w:val="0"/>
      <w:numFmt w:val="bullet"/>
      <w:lvlText w:val="•"/>
      <w:lvlJc w:val="left"/>
      <w:pPr>
        <w:ind w:left="6247" w:hanging="300"/>
      </w:pPr>
      <w:rPr>
        <w:rFonts w:hint="default"/>
        <w:lang w:val="zh-CN" w:eastAsia="zh-CN" w:bidi="zh-CN"/>
      </w:rPr>
    </w:lvl>
    <w:lvl w:ilvl="6">
      <w:start w:val="0"/>
      <w:numFmt w:val="bullet"/>
      <w:lvlText w:val="•"/>
      <w:lvlJc w:val="left"/>
      <w:pPr>
        <w:ind w:left="7378" w:hanging="300"/>
      </w:pPr>
      <w:rPr>
        <w:rFonts w:hint="default"/>
        <w:lang w:val="zh-CN" w:eastAsia="zh-CN" w:bidi="zh-CN"/>
      </w:rPr>
    </w:lvl>
    <w:lvl w:ilvl="7">
      <w:start w:val="0"/>
      <w:numFmt w:val="bullet"/>
      <w:lvlText w:val="•"/>
      <w:lvlJc w:val="left"/>
      <w:pPr>
        <w:ind w:left="8510" w:hanging="300"/>
      </w:pPr>
      <w:rPr>
        <w:rFonts w:hint="default"/>
        <w:lang w:val="zh-CN" w:eastAsia="zh-CN" w:bidi="zh-CN"/>
      </w:rPr>
    </w:lvl>
    <w:lvl w:ilvl="8">
      <w:start w:val="0"/>
      <w:numFmt w:val="bullet"/>
      <w:lvlText w:val="•"/>
      <w:lvlJc w:val="left"/>
      <w:pPr>
        <w:ind w:left="9642" w:hanging="300"/>
      </w:pPr>
      <w:rPr>
        <w:rFonts w:hint="default"/>
        <w:lang w:val="zh-CN" w:eastAsia="zh-CN" w:bidi="zh-CN"/>
      </w:rPr>
    </w:lvl>
  </w:abstractNum>
  <w:abstractNum w:abstractNumId="1">
    <w:multiLevelType w:val="hybridMultilevel"/>
    <w:lvl w:ilvl="0">
      <w:start w:val="1"/>
      <w:numFmt w:val="decimal"/>
      <w:lvlText w:val="%1"/>
      <w:lvlJc w:val="left"/>
      <w:pPr>
        <w:ind w:left="2397" w:hanging="420"/>
        <w:jc w:val="left"/>
      </w:pPr>
      <w:rPr>
        <w:rFonts w:hint="default" w:ascii="Times New Roman" w:hAnsi="Times New Roman" w:eastAsia="Times New Roman" w:cs="Times New Roman"/>
        <w:b/>
        <w:bCs/>
        <w:w w:val="100"/>
        <w:sz w:val="28"/>
        <w:szCs w:val="28"/>
        <w:lang w:val="zh-CN" w:eastAsia="zh-CN" w:bidi="zh-CN"/>
      </w:rPr>
    </w:lvl>
    <w:lvl w:ilvl="1">
      <w:start w:val="1"/>
      <w:numFmt w:val="decimal"/>
      <w:lvlText w:val="%1.%2"/>
      <w:lvlJc w:val="left"/>
      <w:pPr>
        <w:ind w:left="2500" w:hanging="603"/>
        <w:jc w:val="left"/>
      </w:pPr>
      <w:rPr>
        <w:rFonts w:hint="default"/>
        <w:b/>
        <w:bCs/>
        <w:spacing w:val="0"/>
        <w:w w:val="99"/>
        <w:lang w:val="zh-CN" w:eastAsia="zh-CN" w:bidi="zh-CN"/>
      </w:rPr>
    </w:lvl>
    <w:lvl w:ilvl="2">
      <w:start w:val="1"/>
      <w:numFmt w:val="decimal"/>
      <w:lvlText w:val="%1.%2.%3"/>
      <w:lvlJc w:val="left"/>
      <w:pPr>
        <w:ind w:left="2743" w:hanging="603"/>
        <w:jc w:val="left"/>
      </w:pPr>
      <w:rPr>
        <w:rFonts w:hint="default" w:ascii="黑体" w:hAnsi="黑体" w:eastAsia="黑体" w:cs="黑体"/>
        <w:b/>
        <w:bCs/>
        <w:w w:val="99"/>
        <w:sz w:val="24"/>
        <w:szCs w:val="24"/>
        <w:lang w:val="zh-CN" w:eastAsia="zh-CN" w:bidi="zh-CN"/>
      </w:rPr>
    </w:lvl>
    <w:lvl w:ilvl="3">
      <w:start w:val="0"/>
      <w:numFmt w:val="bullet"/>
      <w:lvlText w:val="•"/>
      <w:lvlJc w:val="left"/>
      <w:pPr>
        <w:ind w:left="2740" w:hanging="603"/>
      </w:pPr>
      <w:rPr>
        <w:rFonts w:hint="default"/>
        <w:lang w:val="zh-CN" w:eastAsia="zh-CN" w:bidi="zh-CN"/>
      </w:rPr>
    </w:lvl>
    <w:lvl w:ilvl="4">
      <w:start w:val="0"/>
      <w:numFmt w:val="bullet"/>
      <w:lvlText w:val="•"/>
      <w:lvlJc w:val="left"/>
      <w:pPr>
        <w:ind w:left="4049" w:hanging="603"/>
      </w:pPr>
      <w:rPr>
        <w:rFonts w:hint="default"/>
        <w:lang w:val="zh-CN" w:eastAsia="zh-CN" w:bidi="zh-CN"/>
      </w:rPr>
    </w:lvl>
    <w:lvl w:ilvl="5">
      <w:start w:val="0"/>
      <w:numFmt w:val="bullet"/>
      <w:lvlText w:val="•"/>
      <w:lvlJc w:val="left"/>
      <w:pPr>
        <w:ind w:left="5358" w:hanging="603"/>
      </w:pPr>
      <w:rPr>
        <w:rFonts w:hint="default"/>
        <w:lang w:val="zh-CN" w:eastAsia="zh-CN" w:bidi="zh-CN"/>
      </w:rPr>
    </w:lvl>
    <w:lvl w:ilvl="6">
      <w:start w:val="0"/>
      <w:numFmt w:val="bullet"/>
      <w:lvlText w:val="•"/>
      <w:lvlJc w:val="left"/>
      <w:pPr>
        <w:ind w:left="6668" w:hanging="603"/>
      </w:pPr>
      <w:rPr>
        <w:rFonts w:hint="default"/>
        <w:lang w:val="zh-CN" w:eastAsia="zh-CN" w:bidi="zh-CN"/>
      </w:rPr>
    </w:lvl>
    <w:lvl w:ilvl="7">
      <w:start w:val="0"/>
      <w:numFmt w:val="bullet"/>
      <w:lvlText w:val="•"/>
      <w:lvlJc w:val="left"/>
      <w:pPr>
        <w:ind w:left="7977" w:hanging="603"/>
      </w:pPr>
      <w:rPr>
        <w:rFonts w:hint="default"/>
        <w:lang w:val="zh-CN" w:eastAsia="zh-CN" w:bidi="zh-CN"/>
      </w:rPr>
    </w:lvl>
    <w:lvl w:ilvl="8">
      <w:start w:val="0"/>
      <w:numFmt w:val="bullet"/>
      <w:lvlText w:val="•"/>
      <w:lvlJc w:val="left"/>
      <w:pPr>
        <w:ind w:left="9287" w:hanging="603"/>
      </w:pPr>
      <w:rPr>
        <w:rFonts w:hint="default"/>
        <w:lang w:val="zh-CN" w:eastAsia="zh-CN" w:bidi="zh-CN"/>
      </w:rPr>
    </w:lvl>
  </w:abstractNum>
  <w:abstractNum w:abstractNumId="0">
    <w:multiLevelType w:val="hybridMultilevel"/>
    <w:lvl w:ilvl="0">
      <w:start w:val="1"/>
      <w:numFmt w:val="decimal"/>
      <w:lvlText w:val="%1"/>
      <w:lvlJc w:val="left"/>
      <w:pPr>
        <w:ind w:left="1732" w:hanging="315"/>
        <w:jc w:val="right"/>
      </w:pPr>
      <w:rPr>
        <w:rFonts w:hint="default" w:ascii="楷体" w:hAnsi="楷体" w:eastAsia="楷体" w:cs="楷体"/>
        <w:w w:val="99"/>
        <w:sz w:val="21"/>
        <w:szCs w:val="21"/>
        <w:lang w:val="zh-CN" w:eastAsia="zh-CN" w:bidi="zh-CN"/>
      </w:rPr>
    </w:lvl>
    <w:lvl w:ilvl="1">
      <w:start w:val="1"/>
      <w:numFmt w:val="decimal"/>
      <w:lvlText w:val="%1.%2"/>
      <w:lvlJc w:val="left"/>
      <w:pPr>
        <w:ind w:left="2364" w:hanging="526"/>
        <w:jc w:val="left"/>
      </w:pPr>
      <w:rPr>
        <w:rFonts w:hint="default" w:ascii="楷体" w:hAnsi="楷体" w:eastAsia="楷体" w:cs="楷体"/>
        <w:spacing w:val="0"/>
        <w:w w:val="99"/>
        <w:sz w:val="21"/>
        <w:szCs w:val="21"/>
        <w:lang w:val="zh-CN" w:eastAsia="zh-CN" w:bidi="zh-CN"/>
      </w:rPr>
    </w:lvl>
    <w:lvl w:ilvl="2">
      <w:start w:val="1"/>
      <w:numFmt w:val="decimal"/>
      <w:lvlText w:val="%1.%2.%3"/>
      <w:lvlJc w:val="left"/>
      <w:pPr>
        <w:ind w:left="2992" w:hanging="735"/>
        <w:jc w:val="left"/>
      </w:pPr>
      <w:rPr>
        <w:rFonts w:hint="default" w:ascii="楷体" w:hAnsi="楷体" w:eastAsia="楷体" w:cs="楷体"/>
        <w:spacing w:val="-2"/>
        <w:w w:val="99"/>
        <w:sz w:val="21"/>
        <w:szCs w:val="21"/>
        <w:lang w:val="zh-CN" w:eastAsia="zh-CN" w:bidi="zh-CN"/>
      </w:rPr>
    </w:lvl>
    <w:lvl w:ilvl="3">
      <w:start w:val="0"/>
      <w:numFmt w:val="bullet"/>
      <w:lvlText w:val="•"/>
      <w:lvlJc w:val="left"/>
      <w:pPr>
        <w:ind w:left="4113" w:hanging="735"/>
      </w:pPr>
      <w:rPr>
        <w:rFonts w:hint="default"/>
        <w:lang w:val="zh-CN" w:eastAsia="zh-CN" w:bidi="zh-CN"/>
      </w:rPr>
    </w:lvl>
    <w:lvl w:ilvl="4">
      <w:start w:val="0"/>
      <w:numFmt w:val="bullet"/>
      <w:lvlText w:val="•"/>
      <w:lvlJc w:val="left"/>
      <w:pPr>
        <w:ind w:left="5226" w:hanging="735"/>
      </w:pPr>
      <w:rPr>
        <w:rFonts w:hint="default"/>
        <w:lang w:val="zh-CN" w:eastAsia="zh-CN" w:bidi="zh-CN"/>
      </w:rPr>
    </w:lvl>
    <w:lvl w:ilvl="5">
      <w:start w:val="0"/>
      <w:numFmt w:val="bullet"/>
      <w:lvlText w:val="•"/>
      <w:lvlJc w:val="left"/>
      <w:pPr>
        <w:ind w:left="6339" w:hanging="735"/>
      </w:pPr>
      <w:rPr>
        <w:rFonts w:hint="default"/>
        <w:lang w:val="zh-CN" w:eastAsia="zh-CN" w:bidi="zh-CN"/>
      </w:rPr>
    </w:lvl>
    <w:lvl w:ilvl="6">
      <w:start w:val="0"/>
      <w:numFmt w:val="bullet"/>
      <w:lvlText w:val="•"/>
      <w:lvlJc w:val="left"/>
      <w:pPr>
        <w:ind w:left="7453" w:hanging="735"/>
      </w:pPr>
      <w:rPr>
        <w:rFonts w:hint="default"/>
        <w:lang w:val="zh-CN" w:eastAsia="zh-CN" w:bidi="zh-CN"/>
      </w:rPr>
    </w:lvl>
    <w:lvl w:ilvl="7">
      <w:start w:val="0"/>
      <w:numFmt w:val="bullet"/>
      <w:lvlText w:val="•"/>
      <w:lvlJc w:val="left"/>
      <w:pPr>
        <w:ind w:left="8566" w:hanging="735"/>
      </w:pPr>
      <w:rPr>
        <w:rFonts w:hint="default"/>
        <w:lang w:val="zh-CN" w:eastAsia="zh-CN" w:bidi="zh-CN"/>
      </w:rPr>
    </w:lvl>
    <w:lvl w:ilvl="8">
      <w:start w:val="0"/>
      <w:numFmt w:val="bullet"/>
      <w:lvlText w:val="•"/>
      <w:lvlJc w:val="left"/>
      <w:pPr>
        <w:ind w:left="9679" w:hanging="735"/>
      </w:pPr>
      <w:rPr>
        <w:rFonts w:hint="default"/>
        <w:lang w:val="zh-CN" w:eastAsia="zh-CN" w:bidi="zh-CN"/>
      </w:rPr>
    </w:lvl>
  </w:abstractNum>
  <w:num w:numId="6">
    <w:abstractNumId w:val="5"/>
  </w:num>
  <w:num w:numId="5">
    <w:abstractNumId w:val="4"/>
  </w:num>
  <w:num w:numId="3">
    <w:abstractNumId w:val="2"/>
  </w:num>
  <w:num w:numId="11">
    <w:abstractNumId w:val="10"/>
  </w:num>
  <w:num w:numId="10">
    <w:abstractNumId w:val="9"/>
  </w:num>
  <w:num w:numId="9">
    <w:abstractNumId w:val="8"/>
  </w:num>
  <w:num w:numId="8">
    <w:abstractNumId w:val="7"/>
  </w:num>
  <w:num w:numId="7">
    <w:abstractNumId w:val="6"/>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43"/>
      <w:ind w:right="1426"/>
      <w:jc w:val="right"/>
    </w:pPr>
    <w:rPr>
      <w:rFonts w:ascii="楷体" w:hAnsi="楷体" w:eastAsia="楷体" w:cs="楷体"/>
      <w:sz w:val="21"/>
      <w:szCs w:val="21"/>
      <w:lang w:val="zh-CN" w:eastAsia="zh-CN" w:bidi="zh-CN"/>
    </w:rPr>
  </w:style>
  <w:style w:styleId="TOC2" w:type="paragraph">
    <w:name w:val="TOC 2"/>
    <w:basedOn w:val="Normal"/>
    <w:uiPriority w:val="1"/>
    <w:qFormat/>
    <w:pPr>
      <w:spacing w:before="43"/>
      <w:ind w:left="1732" w:hanging="315"/>
    </w:pPr>
    <w:rPr>
      <w:rFonts w:ascii="楷体" w:hAnsi="楷体" w:eastAsia="楷体" w:cs="楷体"/>
      <w:sz w:val="21"/>
      <w:szCs w:val="21"/>
      <w:lang w:val="zh-CN" w:eastAsia="zh-CN" w:bidi="zh-CN"/>
    </w:rPr>
  </w:style>
  <w:style w:styleId="TOC3" w:type="paragraph">
    <w:name w:val="TOC 3"/>
    <w:basedOn w:val="Normal"/>
    <w:uiPriority w:val="1"/>
    <w:qFormat/>
    <w:pPr>
      <w:spacing w:before="43"/>
      <w:ind w:left="2364" w:hanging="526"/>
    </w:pPr>
    <w:rPr>
      <w:rFonts w:ascii="楷体" w:hAnsi="楷体" w:eastAsia="楷体" w:cs="楷体"/>
      <w:sz w:val="21"/>
      <w:szCs w:val="21"/>
      <w:lang w:val="zh-CN" w:eastAsia="zh-CN" w:bidi="zh-CN"/>
    </w:rPr>
  </w:style>
  <w:style w:styleId="TOC4" w:type="paragraph">
    <w:name w:val="TOC 4"/>
    <w:basedOn w:val="Normal"/>
    <w:uiPriority w:val="1"/>
    <w:qFormat/>
    <w:pPr>
      <w:spacing w:before="43"/>
      <w:ind w:left="2992" w:hanging="735"/>
    </w:pPr>
    <w:rPr>
      <w:rFonts w:ascii="楷体" w:hAnsi="楷体" w:eastAsia="楷体" w:cs="楷体"/>
      <w:sz w:val="21"/>
      <w:szCs w:val="21"/>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62"/>
      <w:ind w:left="2397" w:hanging="421"/>
      <w:outlineLvl w:val="1"/>
    </w:pPr>
    <w:rPr>
      <w:rFonts w:ascii="黑体" w:hAnsi="黑体" w:eastAsia="黑体" w:cs="黑体"/>
      <w:b/>
      <w:bCs/>
      <w:sz w:val="28"/>
      <w:szCs w:val="28"/>
      <w:lang w:val="zh-CN" w:eastAsia="zh-CN" w:bidi="zh-CN"/>
    </w:rPr>
  </w:style>
  <w:style w:styleId="Heading2" w:type="paragraph">
    <w:name w:val="Heading 2"/>
    <w:basedOn w:val="Normal"/>
    <w:uiPriority w:val="1"/>
    <w:qFormat/>
    <w:pPr>
      <w:ind w:left="2743" w:hanging="846"/>
      <w:outlineLvl w:val="2"/>
    </w:pPr>
    <w:rPr>
      <w:rFonts w:ascii="黑体" w:hAnsi="黑体" w:eastAsia="黑体" w:cs="黑体"/>
      <w:b/>
      <w:bCs/>
      <w:sz w:val="24"/>
      <w:szCs w:val="24"/>
      <w:lang w:val="zh-CN" w:eastAsia="zh-CN" w:bidi="zh-CN"/>
    </w:rPr>
  </w:style>
  <w:style w:styleId="ListParagraph" w:type="paragraph">
    <w:name w:val="List Paragraph"/>
    <w:basedOn w:val="Normal"/>
    <w:uiPriority w:val="1"/>
    <w:qFormat/>
    <w:pPr>
      <w:spacing w:before="43"/>
      <w:ind w:left="1418" w:firstLine="480"/>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footer" Target="footer3.xml"/><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footer" Target="footer4.xml"/><Relationship Id="rId44" Type="http://schemas.openxmlformats.org/officeDocument/2006/relationships/image" Target="media/image33.jpe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footer" Target="footer5.xml"/><Relationship Id="rId56" Type="http://schemas.openxmlformats.org/officeDocument/2006/relationships/image" Target="media/image44.jpeg"/><Relationship Id="rId57" Type="http://schemas.openxmlformats.org/officeDocument/2006/relationships/image" Target="media/image45.jpeg"/><Relationship Id="rId58" Type="http://schemas.openxmlformats.org/officeDocument/2006/relationships/image" Target="media/image46.jpeg"/><Relationship Id="rId59" Type="http://schemas.openxmlformats.org/officeDocument/2006/relationships/image" Target="media/image47.jpeg"/><Relationship Id="rId60" Type="http://schemas.openxmlformats.org/officeDocument/2006/relationships/image" Target="media/image48.png"/><Relationship Id="rId61" Type="http://schemas.openxmlformats.org/officeDocument/2006/relationships/footer" Target="footer6.xml"/><Relationship Id="rId62" Type="http://schemas.openxmlformats.org/officeDocument/2006/relationships/image" Target="media/image49.jpeg"/><Relationship Id="rId63" Type="http://schemas.openxmlformats.org/officeDocument/2006/relationships/image" Target="media/image50.jpe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footer" Target="footer7.xml"/><Relationship Id="rId72" Type="http://schemas.openxmlformats.org/officeDocument/2006/relationships/hyperlink" Target="http://www.worlduc.com/blog2012.aspx?bid=50620313" TargetMode="External"/><Relationship Id="rId73" Type="http://schemas.openxmlformats.org/officeDocument/2006/relationships/hyperlink" Target="http://www.worlduc.com/blog2012.aspx?bid=50620292" TargetMode="External"/><Relationship Id="rId74" Type="http://schemas.openxmlformats.org/officeDocument/2006/relationships/image" Target="media/image58.jpeg"/><Relationship Id="rId75" Type="http://schemas.openxmlformats.org/officeDocument/2006/relationships/image" Target="media/image59.png"/><Relationship Id="rId76" Type="http://schemas.openxmlformats.org/officeDocument/2006/relationships/image" Target="media/image60.jpeg"/><Relationship Id="rId77" Type="http://schemas.openxmlformats.org/officeDocument/2006/relationships/image" Target="media/image61.jpeg"/><Relationship Id="rId78" Type="http://schemas.openxmlformats.org/officeDocument/2006/relationships/image" Target="media/image62.jpeg"/><Relationship Id="rId79" Type="http://schemas.openxmlformats.org/officeDocument/2006/relationships/image" Target="media/image63.jpeg"/><Relationship Id="rId80" Type="http://schemas.openxmlformats.org/officeDocument/2006/relationships/image" Target="media/image64.png"/><Relationship Id="rId81" Type="http://schemas.openxmlformats.org/officeDocument/2006/relationships/image" Target="media/image65.jpeg"/><Relationship Id="rId82" Type="http://schemas.openxmlformats.org/officeDocument/2006/relationships/image" Target="media/image66.jpeg"/><Relationship Id="rId83" Type="http://schemas.openxmlformats.org/officeDocument/2006/relationships/image" Target="media/image67.png"/><Relationship Id="rId84" Type="http://schemas.openxmlformats.org/officeDocument/2006/relationships/footer" Target="footer8.xml"/><Relationship Id="rId85" Type="http://schemas.openxmlformats.org/officeDocument/2006/relationships/image" Target="media/image68.jpeg"/><Relationship Id="rId86" Type="http://schemas.openxmlformats.org/officeDocument/2006/relationships/image" Target="media/image69.jpeg"/><Relationship Id="rId87" Type="http://schemas.openxmlformats.org/officeDocument/2006/relationships/image" Target="media/image70.jpeg"/><Relationship Id="rId88" Type="http://schemas.openxmlformats.org/officeDocument/2006/relationships/image" Target="media/image71.jpeg"/><Relationship Id="rId89" Type="http://schemas.openxmlformats.org/officeDocument/2006/relationships/image" Target="media/image72.png"/><Relationship Id="rId90" Type="http://schemas.openxmlformats.org/officeDocument/2006/relationships/image" Target="media/image73.jpeg"/><Relationship Id="rId91" Type="http://schemas.openxmlformats.org/officeDocument/2006/relationships/footer" Target="footer9.xml"/><Relationship Id="rId92" Type="http://schemas.openxmlformats.org/officeDocument/2006/relationships/footer" Target="footer10.xml"/><Relationship Id="rId9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Relationship Id="rId3"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dcterms:created xsi:type="dcterms:W3CDTF">2019-05-31T02:57:10Z</dcterms:created>
  <dcterms:modified xsi:type="dcterms:W3CDTF">2019-05-31T02:57:10Z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2019-01-04T00:00:00Z</vt:filetime>
  </property>
  <property fmtid="{D5CDD505-2E9C-101B-9397-08002B2CF9AE}" pid="3" name="Creator">
    <vt:lpwstr>WPS 文字</vt:lpwstr>
  </property>
  <property fmtid="{D5CDD505-2E9C-101B-9397-08002B2CF9AE}" pid="4" name="LastSaved">
    <vt:filetime>2019-05-31T00:00:00Z</vt:filetime>
  </property>
</Properties>
</file>