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20" w:rsidRPr="00064842" w:rsidRDefault="00071B20" w:rsidP="00064842">
      <w:pPr>
        <w:widowControl w:val="0"/>
        <w:adjustRightInd/>
        <w:spacing w:after="0" w:line="384" w:lineRule="auto"/>
        <w:jc w:val="center"/>
        <w:rPr>
          <w:rFonts w:ascii="方正大标宋简体" w:eastAsia="方正大标宋简体" w:hAnsi="宋体" w:cs="宋体"/>
          <w:b/>
          <w:bCs/>
          <w:color w:val="000000"/>
          <w:spacing w:val="-10"/>
          <w:sz w:val="36"/>
          <w:szCs w:val="36"/>
        </w:rPr>
      </w:pPr>
      <w:r w:rsidRPr="00064842">
        <w:rPr>
          <w:rFonts w:ascii="方正大标宋简体" w:eastAsia="方正大标宋简体" w:hAnsi="宋体" w:cs="宋体" w:hint="eastAsia"/>
          <w:b/>
          <w:bCs/>
          <w:color w:val="000000"/>
          <w:spacing w:val="-10"/>
          <w:sz w:val="36"/>
          <w:szCs w:val="36"/>
        </w:rPr>
        <w:t>湖南化工职业技术学院“十三五”课程建设规划</w:t>
      </w:r>
    </w:p>
    <w:p w:rsidR="00071B20" w:rsidRPr="00064842" w:rsidRDefault="00071B20" w:rsidP="00064842">
      <w:pPr>
        <w:widowControl w:val="0"/>
        <w:adjustRightInd/>
        <w:spacing w:after="0" w:line="384" w:lineRule="auto"/>
        <w:jc w:val="center"/>
        <w:rPr>
          <w:rFonts w:ascii="方正大标宋简体" w:eastAsia="方正大标宋简体" w:hAnsi="宋体" w:cs="宋体"/>
          <w:b/>
          <w:bCs/>
          <w:color w:val="000000"/>
          <w:spacing w:val="-10"/>
          <w:sz w:val="36"/>
          <w:szCs w:val="36"/>
        </w:rPr>
      </w:pPr>
      <w:r w:rsidRPr="00064842">
        <w:rPr>
          <w:rFonts w:ascii="方正大标宋简体" w:eastAsia="方正大标宋简体" w:hAnsi="宋体" w:cs="宋体" w:hint="eastAsia"/>
          <w:b/>
          <w:bCs/>
          <w:color w:val="000000"/>
          <w:spacing w:val="-10"/>
          <w:sz w:val="36"/>
          <w:szCs w:val="36"/>
        </w:rPr>
        <w:t>（</w:t>
      </w:r>
      <w:r w:rsidRPr="00064842">
        <w:rPr>
          <w:rFonts w:ascii="方正大标宋简体" w:eastAsia="方正大标宋简体" w:hAnsi="宋体" w:cs="宋体"/>
          <w:b/>
          <w:bCs/>
          <w:color w:val="000000"/>
          <w:spacing w:val="-10"/>
          <w:sz w:val="36"/>
          <w:szCs w:val="36"/>
        </w:rPr>
        <w:t>2016-2020</w:t>
      </w:r>
      <w:r w:rsidRPr="00064842">
        <w:rPr>
          <w:rFonts w:ascii="方正大标宋简体" w:eastAsia="方正大标宋简体" w:hAnsi="宋体" w:cs="宋体" w:hint="eastAsia"/>
          <w:b/>
          <w:bCs/>
          <w:color w:val="000000"/>
          <w:spacing w:val="-10"/>
          <w:sz w:val="36"/>
          <w:szCs w:val="36"/>
        </w:rPr>
        <w:t>年）</w:t>
      </w:r>
    </w:p>
    <w:p w:rsidR="00071B20" w:rsidRPr="00064842" w:rsidRDefault="00071B20" w:rsidP="00C5701C">
      <w:pPr>
        <w:shd w:val="clear" w:color="auto" w:fill="FFFFFF"/>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课程是高校人才培养的核心资源和基本要素，是对育人目标、教学内容、教学活动方式的规划与设计，是教学计划、教学大纲和教材及其实施过程的载体，直接决定着人才培养质量。为进一步加强我院课程建设，着力解决学生成长成才与优质课程资源供给、学生学习习惯与课程教学方式之间的矛盾，提高技术技能人才培养质量，根据《湖南化工职业技术学院“十三五”事业发展总体规划（</w:t>
      </w:r>
      <w:r w:rsidRPr="00064842">
        <w:rPr>
          <w:rFonts w:ascii="仿宋_GB2312" w:eastAsia="仿宋_GB2312" w:hAnsi="宋体" w:cs="宋体"/>
          <w:bCs/>
          <w:color w:val="000000"/>
          <w:sz w:val="28"/>
          <w:szCs w:val="28"/>
        </w:rPr>
        <w:t>2016-2020</w:t>
      </w:r>
      <w:r w:rsidRPr="00064842">
        <w:rPr>
          <w:rFonts w:ascii="仿宋_GB2312" w:eastAsia="仿宋_GB2312" w:hAnsi="宋体" w:cs="宋体" w:hint="eastAsia"/>
          <w:bCs/>
          <w:color w:val="000000"/>
          <w:sz w:val="28"/>
          <w:szCs w:val="28"/>
        </w:rPr>
        <w:t>年）》《湖南化工职业技术学院“十三五”专业建设规划（</w:t>
      </w:r>
      <w:r w:rsidRPr="00064842">
        <w:rPr>
          <w:rFonts w:ascii="仿宋_GB2312" w:eastAsia="仿宋_GB2312" w:hAnsi="宋体" w:cs="宋体"/>
          <w:bCs/>
          <w:color w:val="000000"/>
          <w:sz w:val="28"/>
          <w:szCs w:val="28"/>
        </w:rPr>
        <w:t>2016-2020</w:t>
      </w:r>
      <w:r w:rsidRPr="00064842">
        <w:rPr>
          <w:rFonts w:ascii="仿宋_GB2312" w:eastAsia="仿宋_GB2312" w:hAnsi="宋体" w:cs="宋体" w:hint="eastAsia"/>
          <w:bCs/>
          <w:color w:val="000000"/>
          <w:sz w:val="28"/>
          <w:szCs w:val="28"/>
        </w:rPr>
        <w:t>年）》等文件精神，制定本规划。</w:t>
      </w:r>
    </w:p>
    <w:p w:rsidR="00071B20" w:rsidRPr="00064842" w:rsidRDefault="00071B20" w:rsidP="00064842">
      <w:pPr>
        <w:widowControl w:val="0"/>
        <w:adjustRightInd/>
        <w:spacing w:beforeLines="50" w:afterLines="50" w:line="384" w:lineRule="auto"/>
        <w:ind w:firstLine="573"/>
        <w:jc w:val="both"/>
        <w:rPr>
          <w:rFonts w:ascii="黑体" w:eastAsia="黑体" w:hAnsi="宋体" w:cs="宋体"/>
          <w:b/>
          <w:bCs/>
          <w:color w:val="000000"/>
          <w:sz w:val="28"/>
          <w:szCs w:val="28"/>
        </w:rPr>
      </w:pPr>
      <w:r>
        <w:rPr>
          <w:rFonts w:ascii="黑体" w:eastAsia="黑体" w:hAnsi="宋体" w:cs="宋体" w:hint="eastAsia"/>
          <w:b/>
          <w:bCs/>
          <w:color w:val="000000"/>
          <w:sz w:val="28"/>
          <w:szCs w:val="28"/>
        </w:rPr>
        <w:t>一、</w:t>
      </w:r>
      <w:r w:rsidRPr="00064842">
        <w:rPr>
          <w:rFonts w:ascii="黑体" w:eastAsia="黑体" w:hAnsi="宋体" w:cs="宋体" w:hint="eastAsia"/>
          <w:b/>
          <w:bCs/>
          <w:color w:val="000000"/>
          <w:sz w:val="28"/>
          <w:szCs w:val="28"/>
        </w:rPr>
        <w:t>建设基础</w:t>
      </w:r>
    </w:p>
    <w:p w:rsidR="00071B20" w:rsidRPr="00064842" w:rsidRDefault="00071B20" w:rsidP="00E879C5">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“十二五”期间，学院不断优化课程体系、推进课程教学改革与建设、强化课程管理，课程建设水平不断提高。</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（一）以职业能力</w:t>
      </w:r>
      <w:bookmarkStart w:id="0" w:name="_GoBack"/>
      <w:r w:rsidRPr="00064842">
        <w:rPr>
          <w:rFonts w:ascii="仿宋_GB2312" w:eastAsia="仿宋_GB2312" w:hAnsi="宋体" w:cs="宋体" w:hint="eastAsia"/>
          <w:b/>
          <w:color w:val="000000"/>
          <w:sz w:val="28"/>
          <w:szCs w:val="28"/>
        </w:rPr>
        <w:t>培养</w:t>
      </w:r>
      <w:bookmarkEnd w:id="0"/>
      <w:r w:rsidRPr="00064842">
        <w:rPr>
          <w:rFonts w:ascii="仿宋_GB2312" w:eastAsia="仿宋_GB2312" w:hAnsi="宋体" w:cs="宋体" w:hint="eastAsia"/>
          <w:b/>
          <w:color w:val="000000"/>
          <w:sz w:val="28"/>
          <w:szCs w:val="28"/>
        </w:rPr>
        <w:t>为主线，课程教学体系不断完善</w:t>
      </w:r>
    </w:p>
    <w:p w:rsidR="00071B20" w:rsidRPr="00064842" w:rsidRDefault="00071B20" w:rsidP="008A425C">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组织专业骨干教师与行业企业专家共同调研，对各专业职业岗位和岗位群所需职业能力进行剖析，准确把握专业所对应的职业岗位（群）及任职要求，开发了以技术领域与职业岗位（群）须具备的知识、技能、态度培养为主线的系列课程，突出实践能力培养，以现场作业流程、任务、案例、项目、产品为导向的模块化内容体系初步形成。制订和修订课程标准</w:t>
      </w:r>
      <w:r w:rsidRPr="00064842">
        <w:rPr>
          <w:rFonts w:ascii="仿宋_GB2312" w:eastAsia="仿宋_GB2312" w:hAnsi="宋体" w:cs="宋体"/>
          <w:bCs/>
          <w:color w:val="000000"/>
          <w:sz w:val="28"/>
          <w:szCs w:val="28"/>
        </w:rPr>
        <w:t>298</w:t>
      </w:r>
      <w:r w:rsidRPr="00064842">
        <w:rPr>
          <w:rFonts w:ascii="仿宋_GB2312" w:eastAsia="仿宋_GB2312" w:hAnsi="宋体" w:cs="宋体" w:hint="eastAsia"/>
          <w:bCs/>
          <w:color w:val="000000"/>
          <w:sz w:val="28"/>
          <w:szCs w:val="28"/>
        </w:rPr>
        <w:t>门，以社会需求为导向、能力培养为核心、技术逻辑体系为主线，构建了以筑牢基础知识和基本理论为目标的理论教学体系、以强化职业技能与专业技能为目标的实践教学体系、以培养创新思维和创新创业能力为目标的创新创业教育体系，形成了“平台</w:t>
      </w:r>
      <w:r w:rsidRPr="00064842">
        <w:rPr>
          <w:rFonts w:ascii="仿宋_GB2312" w:eastAsia="仿宋_GB2312" w:hAnsi="宋体" w:cs="宋体"/>
          <w:bCs/>
          <w:color w:val="000000"/>
          <w:sz w:val="28"/>
          <w:szCs w:val="28"/>
        </w:rPr>
        <w:t>+</w:t>
      </w:r>
      <w:r w:rsidRPr="00064842">
        <w:rPr>
          <w:rFonts w:ascii="仿宋_GB2312" w:eastAsia="仿宋_GB2312" w:hAnsi="宋体" w:cs="宋体" w:hint="eastAsia"/>
          <w:bCs/>
          <w:color w:val="000000"/>
          <w:sz w:val="28"/>
          <w:szCs w:val="28"/>
        </w:rPr>
        <w:t>模块”的技术技能人才培养课程体系。</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（二）以信息技术应用为推手，课程教学改革不断深入</w:t>
      </w:r>
    </w:p>
    <w:p w:rsidR="00071B20" w:rsidRPr="00064842" w:rsidRDefault="00071B20" w:rsidP="008A425C">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以信息化教育教学改革项目为载体，按照系统设计与分步推进相结合、信息技术应用与创新相促进的思路，深入推进教育信息化应用，形成了较为完善的信息化教学方法应用方案，全方位构筑了教师信息化教学能力持续提升机制。在解决课程教学吸引力不够、教学评价不全面、信息化教学持续推进机制缺乏等实际教学问题和提升教师教学能力方面取得了一定成效。</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（三）以体制机制创新为保障，课程教学管理不断加强</w:t>
      </w:r>
    </w:p>
    <w:p w:rsidR="00071B20" w:rsidRPr="00064842" w:rsidRDefault="00071B20" w:rsidP="008A425C">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学校先后出台了《课程教学团队建设实施办法（试行）》《精品课程建设管理办法》《课程标准汇编》《十佳优质课堂评选办法》《课堂教学标兵评选办法》《教学事故（违规）认定及处理暂行办法（试行）》等制度和文件，对激励教学团队、规范教学管理、提升教学质量，发挥了积极作用。</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（四）以教研教改建设为抓手，课程建设水平不断提升</w:t>
      </w:r>
    </w:p>
    <w:p w:rsidR="00071B20" w:rsidRPr="00064842" w:rsidRDefault="00071B20" w:rsidP="008A425C">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学院始终把教研教改建设作为推动课程整体建设的有效途径，重点建设一批专业核心课程，构建校级、省级、国家级精品课程和优质课程建设体系。“十二五”期间，建成国家级精品课程和精品资源共享课程各</w:t>
      </w: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门，省级精品课程</w:t>
      </w:r>
      <w:r w:rsidRPr="00064842">
        <w:rPr>
          <w:rFonts w:ascii="仿宋_GB2312" w:eastAsia="仿宋_GB2312" w:hAnsi="宋体" w:cs="宋体"/>
          <w:bCs/>
          <w:color w:val="000000"/>
          <w:sz w:val="28"/>
          <w:szCs w:val="28"/>
        </w:rPr>
        <w:t xml:space="preserve">5 </w:t>
      </w:r>
      <w:r w:rsidRPr="00064842">
        <w:rPr>
          <w:rFonts w:ascii="仿宋_GB2312" w:eastAsia="仿宋_GB2312" w:hAnsi="宋体" w:cs="宋体" w:hint="eastAsia"/>
          <w:bCs/>
          <w:color w:val="000000"/>
          <w:sz w:val="28"/>
          <w:szCs w:val="28"/>
        </w:rPr>
        <w:t>门，省级名师空间课堂</w:t>
      </w:r>
      <w:r w:rsidRPr="00064842">
        <w:rPr>
          <w:rFonts w:ascii="仿宋_GB2312" w:eastAsia="仿宋_GB2312" w:hAnsi="宋体" w:cs="宋体"/>
          <w:bCs/>
          <w:color w:val="000000"/>
          <w:sz w:val="28"/>
          <w:szCs w:val="28"/>
        </w:rPr>
        <w:t>17</w:t>
      </w:r>
      <w:r w:rsidRPr="00064842">
        <w:rPr>
          <w:rFonts w:ascii="仿宋_GB2312" w:eastAsia="仿宋_GB2312" w:hAnsi="宋体" w:cs="宋体" w:hint="eastAsia"/>
          <w:bCs/>
          <w:color w:val="000000"/>
          <w:sz w:val="28"/>
          <w:szCs w:val="28"/>
        </w:rPr>
        <w:t>个，校级精品课程</w:t>
      </w:r>
      <w:r w:rsidRPr="00064842">
        <w:rPr>
          <w:rFonts w:ascii="仿宋_GB2312" w:eastAsia="仿宋_GB2312" w:hAnsi="宋体" w:cs="宋体"/>
          <w:bCs/>
          <w:color w:val="000000"/>
          <w:sz w:val="28"/>
          <w:szCs w:val="28"/>
        </w:rPr>
        <w:t>20</w:t>
      </w:r>
      <w:r w:rsidRPr="00064842">
        <w:rPr>
          <w:rFonts w:ascii="仿宋_GB2312" w:eastAsia="仿宋_GB2312" w:hAnsi="宋体" w:cs="宋体" w:hint="eastAsia"/>
          <w:bCs/>
          <w:color w:val="000000"/>
          <w:sz w:val="28"/>
          <w:szCs w:val="28"/>
        </w:rPr>
        <w:t>门。教师主编、参编教材</w:t>
      </w:r>
      <w:r w:rsidRPr="00064842">
        <w:rPr>
          <w:rFonts w:ascii="仿宋_GB2312" w:eastAsia="仿宋_GB2312" w:hAnsi="宋体" w:cs="宋体"/>
          <w:bCs/>
          <w:color w:val="000000"/>
          <w:sz w:val="28"/>
          <w:szCs w:val="28"/>
        </w:rPr>
        <w:t>50</w:t>
      </w:r>
      <w:r w:rsidRPr="00064842">
        <w:rPr>
          <w:rFonts w:ascii="仿宋_GB2312" w:eastAsia="仿宋_GB2312" w:hAnsi="宋体" w:cs="宋体" w:hint="eastAsia"/>
          <w:bCs/>
          <w:color w:val="000000"/>
          <w:sz w:val="28"/>
          <w:szCs w:val="28"/>
        </w:rPr>
        <w:t>多部，其中，“十二五”国家规划教材</w:t>
      </w:r>
      <w:r w:rsidRPr="00064842">
        <w:rPr>
          <w:rFonts w:ascii="仿宋_GB2312" w:eastAsia="仿宋_GB2312" w:hAnsi="宋体" w:cs="宋体"/>
          <w:bCs/>
          <w:color w:val="000000"/>
          <w:sz w:val="28"/>
          <w:szCs w:val="28"/>
        </w:rPr>
        <w:t>13</w:t>
      </w:r>
      <w:r w:rsidRPr="00064842">
        <w:rPr>
          <w:rFonts w:ascii="仿宋_GB2312" w:eastAsia="仿宋_GB2312" w:hAnsi="宋体" w:cs="宋体" w:hint="eastAsia"/>
          <w:bCs/>
          <w:color w:val="000000"/>
          <w:sz w:val="28"/>
          <w:szCs w:val="28"/>
        </w:rPr>
        <w:t>部。</w:t>
      </w:r>
    </w:p>
    <w:p w:rsidR="00071B20" w:rsidRPr="00064842" w:rsidRDefault="00071B20" w:rsidP="008A425C">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“十二五”期间，我校课程建设工作取得了一定成绩，但仍存在一些问题，主要表现在</w:t>
      </w:r>
      <w:r w:rsidRPr="00064842">
        <w:rPr>
          <w:rFonts w:ascii="仿宋_GB2312" w:eastAsia="仿宋_GB2312" w:hAnsi="宋体" w:cs="宋体"/>
          <w:bCs/>
          <w:color w:val="000000"/>
          <w:sz w:val="28"/>
          <w:szCs w:val="28"/>
        </w:rPr>
        <w:t>:</w:t>
      </w:r>
      <w:r w:rsidRPr="00064842">
        <w:rPr>
          <w:rFonts w:ascii="仿宋_GB2312" w:eastAsia="仿宋_GB2312" w:hAnsi="宋体" w:cs="宋体" w:hint="eastAsia"/>
          <w:bCs/>
          <w:color w:val="000000"/>
          <w:sz w:val="28"/>
          <w:szCs w:val="28"/>
        </w:rPr>
        <w:t>部分专业的课程体系和教学内容需要进一步优化和更新，数字化课程教学资源不足，实践教学过程管理和质量监控有待加强，教学方法改革有待深入，课程建设总体质量有待进一步提高。</w:t>
      </w:r>
    </w:p>
    <w:p w:rsidR="00071B20" w:rsidRPr="00064842" w:rsidRDefault="00071B20" w:rsidP="00064842">
      <w:pPr>
        <w:widowControl w:val="0"/>
        <w:adjustRightInd/>
        <w:spacing w:beforeLines="50" w:afterLines="50" w:line="384" w:lineRule="auto"/>
        <w:ind w:firstLine="573"/>
        <w:jc w:val="both"/>
        <w:rPr>
          <w:rFonts w:ascii="黑体" w:eastAsia="黑体" w:hAnsi="宋体" w:cs="宋体"/>
          <w:b/>
          <w:bCs/>
          <w:color w:val="000000"/>
          <w:sz w:val="28"/>
          <w:szCs w:val="28"/>
        </w:rPr>
      </w:pPr>
      <w:bookmarkStart w:id="1" w:name="_Toc275784993"/>
      <w:r w:rsidRPr="00064842">
        <w:rPr>
          <w:rFonts w:ascii="黑体" w:eastAsia="黑体" w:hAnsi="宋体" w:cs="宋体" w:hint="eastAsia"/>
          <w:b/>
          <w:bCs/>
          <w:color w:val="000000"/>
          <w:sz w:val="28"/>
          <w:szCs w:val="28"/>
        </w:rPr>
        <w:t>二、课程建设指导思想与建设目标</w:t>
      </w:r>
      <w:bookmarkEnd w:id="1"/>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（一）指导思想</w:t>
      </w:r>
    </w:p>
    <w:p w:rsidR="00071B20" w:rsidRPr="00064842" w:rsidRDefault="00071B20">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以中国特色社会主义理论体系为指导，深入贯彻落实科学发展观和习近平总书记系列讲话精神，全面贯彻党的教育方针，遵循高等教育发展基本规律和人才成长规律，根据学院办学定位和专业培养目标，适应地方社会经济发展需要，强化以学生为本的教育理念，以提高技术技能型人才培养质量为目标，优化课程结构、完善课程体系、丰富课程资源、深化课程改革，通过课程建设，推进教育教学创新，提高课程教学质量，全面提升我院整体教学水平。</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bookmarkStart w:id="2" w:name="_Toc275784995"/>
      <w:r w:rsidRPr="00064842">
        <w:rPr>
          <w:rFonts w:ascii="仿宋_GB2312" w:eastAsia="仿宋_GB2312" w:hAnsi="宋体" w:cs="宋体" w:hint="eastAsia"/>
          <w:b/>
          <w:color w:val="000000"/>
          <w:sz w:val="28"/>
          <w:szCs w:val="28"/>
        </w:rPr>
        <w:t>（二）建设目标</w:t>
      </w:r>
      <w:bookmarkEnd w:id="2"/>
    </w:p>
    <w:p w:rsidR="00071B20" w:rsidRPr="00064842" w:rsidRDefault="00071B20" w:rsidP="002E681E">
      <w:pPr>
        <w:shd w:val="clear" w:color="auto" w:fill="FFFFFF"/>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重新构建以能力为本、专业交叉与融合、通识教育与专业教育并重，适应技术技能型人才培养的课程体系。探索建立重视人文情怀、重视实践应用、重视个性发展、符合区域经济社会发展要求的应用课程模块。建立健全课程建设标准和规范，依托世界大学城学习空间、超星、智慧职教等平台，建设优质课程资源，形成以合格课程为基础、校级优秀课程为支持、省级及以上优质课程为引领的数字化教学资源系统；打造信息化教学资源建设、管理与应用平台</w:t>
      </w:r>
      <w:r w:rsidRPr="00064842">
        <w:rPr>
          <w:rFonts w:ascii="仿宋_GB2312" w:eastAsia="仿宋_GB2312" w:hAnsi="宋体" w:cs="宋体"/>
          <w:bCs/>
          <w:color w:val="000000"/>
          <w:sz w:val="28"/>
          <w:szCs w:val="28"/>
        </w:rPr>
        <w:t>,</w:t>
      </w:r>
      <w:r w:rsidRPr="00064842">
        <w:rPr>
          <w:rFonts w:ascii="仿宋_GB2312" w:eastAsia="仿宋_GB2312" w:hAnsi="宋体" w:cs="宋体" w:hint="eastAsia"/>
          <w:bCs/>
          <w:color w:val="000000"/>
          <w:sz w:val="28"/>
          <w:szCs w:val="28"/>
        </w:rPr>
        <w:t>探索现代信息技术条件下职业教育教学改革方法</w:t>
      </w:r>
      <w:r w:rsidRPr="00064842">
        <w:rPr>
          <w:rFonts w:ascii="仿宋_GB2312" w:eastAsia="仿宋_GB2312" w:hAnsi="宋体" w:cs="宋体"/>
          <w:bCs/>
          <w:color w:val="000000"/>
          <w:sz w:val="28"/>
          <w:szCs w:val="28"/>
        </w:rPr>
        <w:t>,</w:t>
      </w:r>
      <w:r w:rsidRPr="00064842">
        <w:rPr>
          <w:rFonts w:ascii="仿宋_GB2312" w:eastAsia="仿宋_GB2312" w:hAnsi="宋体" w:cs="宋体" w:hint="eastAsia"/>
          <w:bCs/>
          <w:color w:val="000000"/>
          <w:sz w:val="28"/>
          <w:szCs w:val="28"/>
        </w:rPr>
        <w:t>搭建以学习者为中心开放、共享、互动、协作的学习环境。</w:t>
      </w:r>
    </w:p>
    <w:p w:rsidR="00071B20" w:rsidRPr="00064842" w:rsidRDefault="00071B20">
      <w:pPr>
        <w:shd w:val="clear" w:color="auto" w:fill="FFFFFF"/>
        <w:adjustRightInd/>
        <w:snapToGrid/>
        <w:spacing w:after="0" w:line="360" w:lineRule="auto"/>
        <w:ind w:firstLine="72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“十三五”期间，继续将课程建设工作作为我校教学工作的中心工作，强化过程管理，提升建设质量，以校本课程建设凝练特色，着力打造一批精品课程资源。到</w:t>
      </w:r>
      <w:r w:rsidRPr="00064842">
        <w:rPr>
          <w:rFonts w:ascii="仿宋_GB2312" w:eastAsia="仿宋_GB2312" w:hAnsi="宋体" w:cs="宋体"/>
          <w:bCs/>
          <w:color w:val="000000"/>
          <w:sz w:val="28"/>
          <w:szCs w:val="28"/>
        </w:rPr>
        <w:t>2020</w:t>
      </w:r>
      <w:r w:rsidRPr="00064842">
        <w:rPr>
          <w:rFonts w:ascii="仿宋_GB2312" w:eastAsia="仿宋_GB2312" w:hAnsi="宋体" w:cs="宋体" w:hint="eastAsia"/>
          <w:bCs/>
          <w:color w:val="000000"/>
          <w:sz w:val="28"/>
          <w:szCs w:val="28"/>
        </w:rPr>
        <w:t>年，学院力争建设国家级精品在线开放课程</w:t>
      </w:r>
      <w:r w:rsidRPr="00064842">
        <w:rPr>
          <w:rFonts w:ascii="仿宋_GB2312" w:eastAsia="仿宋_GB2312" w:hAnsi="宋体" w:cs="宋体"/>
          <w:bCs/>
          <w:color w:val="000000"/>
          <w:sz w:val="28"/>
          <w:szCs w:val="28"/>
        </w:rPr>
        <w:t>5</w:t>
      </w:r>
      <w:r w:rsidRPr="00064842">
        <w:rPr>
          <w:rFonts w:ascii="仿宋_GB2312" w:eastAsia="仿宋_GB2312" w:hAnsi="宋体" w:cs="宋体" w:hint="eastAsia"/>
          <w:bCs/>
          <w:color w:val="000000"/>
          <w:sz w:val="28"/>
          <w:szCs w:val="28"/>
        </w:rPr>
        <w:t>门左右，省级精品在线开放课程</w:t>
      </w:r>
      <w:r w:rsidRPr="00064842">
        <w:rPr>
          <w:rFonts w:ascii="仿宋_GB2312" w:eastAsia="仿宋_GB2312" w:hAnsi="宋体" w:cs="宋体"/>
          <w:bCs/>
          <w:color w:val="000000"/>
          <w:sz w:val="28"/>
          <w:szCs w:val="28"/>
        </w:rPr>
        <w:t>20</w:t>
      </w:r>
      <w:r w:rsidRPr="00064842">
        <w:rPr>
          <w:rFonts w:ascii="仿宋_GB2312" w:eastAsia="仿宋_GB2312" w:hAnsi="宋体" w:cs="宋体" w:hint="eastAsia"/>
          <w:bCs/>
          <w:color w:val="000000"/>
          <w:sz w:val="28"/>
          <w:szCs w:val="28"/>
        </w:rPr>
        <w:t>门左右，校级在线课程</w:t>
      </w:r>
      <w:r w:rsidRPr="00064842">
        <w:rPr>
          <w:rFonts w:ascii="仿宋_GB2312" w:eastAsia="仿宋_GB2312" w:hAnsi="宋体" w:cs="宋体"/>
          <w:bCs/>
          <w:color w:val="000000"/>
          <w:sz w:val="28"/>
          <w:szCs w:val="28"/>
        </w:rPr>
        <w:t>200</w:t>
      </w:r>
      <w:r w:rsidRPr="00064842">
        <w:rPr>
          <w:rFonts w:ascii="仿宋_GB2312" w:eastAsia="仿宋_GB2312" w:hAnsi="宋体" w:cs="宋体" w:hint="eastAsia"/>
          <w:bCs/>
          <w:color w:val="000000"/>
          <w:sz w:val="28"/>
          <w:szCs w:val="28"/>
        </w:rPr>
        <w:t>门左右。与企业合作开发国家规划教材</w:t>
      </w:r>
      <w:r w:rsidRPr="00064842">
        <w:rPr>
          <w:rFonts w:ascii="仿宋_GB2312" w:eastAsia="仿宋_GB2312" w:hAnsi="宋体" w:cs="宋体"/>
          <w:bCs/>
          <w:color w:val="000000"/>
          <w:sz w:val="28"/>
          <w:szCs w:val="28"/>
        </w:rPr>
        <w:t>10</w:t>
      </w:r>
      <w:r w:rsidRPr="00064842">
        <w:rPr>
          <w:rFonts w:ascii="仿宋_GB2312" w:eastAsia="仿宋_GB2312" w:hAnsi="宋体" w:cs="宋体" w:hint="eastAsia"/>
          <w:bCs/>
          <w:color w:val="000000"/>
          <w:sz w:val="28"/>
          <w:szCs w:val="28"/>
        </w:rPr>
        <w:t>部，编写行业特色教材和校本教材</w:t>
      </w:r>
      <w:r w:rsidRPr="00064842">
        <w:rPr>
          <w:rFonts w:ascii="仿宋_GB2312" w:eastAsia="仿宋_GB2312" w:hAnsi="宋体" w:cs="宋体"/>
          <w:bCs/>
          <w:color w:val="000000"/>
          <w:sz w:val="28"/>
          <w:szCs w:val="28"/>
        </w:rPr>
        <w:t>50</w:t>
      </w:r>
      <w:r w:rsidRPr="00064842">
        <w:rPr>
          <w:rFonts w:ascii="仿宋_GB2312" w:eastAsia="仿宋_GB2312" w:hAnsi="宋体" w:cs="宋体" w:hint="eastAsia"/>
          <w:bCs/>
          <w:color w:val="000000"/>
          <w:sz w:val="28"/>
          <w:szCs w:val="28"/>
        </w:rPr>
        <w:t>部。以精品课程为引领，带动其他课程建设，促进学校课程整体建设水平。</w:t>
      </w:r>
    </w:p>
    <w:p w:rsidR="00071B20" w:rsidRPr="00064842" w:rsidRDefault="00071B20" w:rsidP="00064842">
      <w:pPr>
        <w:widowControl w:val="0"/>
        <w:adjustRightInd/>
        <w:spacing w:beforeLines="50" w:afterLines="50" w:line="384" w:lineRule="auto"/>
        <w:ind w:firstLine="573"/>
        <w:jc w:val="both"/>
        <w:rPr>
          <w:rFonts w:ascii="黑体" w:eastAsia="黑体" w:hAnsi="宋体" w:cs="宋体"/>
          <w:b/>
          <w:bCs/>
          <w:color w:val="000000"/>
          <w:sz w:val="28"/>
          <w:szCs w:val="28"/>
        </w:rPr>
      </w:pPr>
      <w:r w:rsidRPr="00064842">
        <w:rPr>
          <w:rFonts w:ascii="黑体" w:eastAsia="黑体" w:hAnsi="宋体" w:cs="宋体" w:hint="eastAsia"/>
          <w:b/>
          <w:bCs/>
          <w:color w:val="000000"/>
          <w:sz w:val="28"/>
          <w:szCs w:val="28"/>
        </w:rPr>
        <w:t>三、课程建设任务</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（一）优化课程体系</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认真贯彻“教学内容与职业标准对接、教学过程与工作过程对接”的理念，积极改革教学内容，正确处理课程开发中“能力”与理论知识的关系，按照“能力导向”的理论配置方式，重构课程理论体系，深化课程教法改革，完成化工生产技术专业群、化学与生物制药技术专业群、化工自动化技术专业群等</w:t>
      </w:r>
      <w:r w:rsidRPr="00064842">
        <w:rPr>
          <w:rFonts w:ascii="仿宋_GB2312" w:eastAsia="仿宋_GB2312" w:hAnsi="宋体" w:cs="宋体"/>
          <w:bCs/>
          <w:color w:val="000000"/>
          <w:sz w:val="28"/>
          <w:szCs w:val="28"/>
        </w:rPr>
        <w:t>3</w:t>
      </w:r>
      <w:r w:rsidRPr="00064842">
        <w:rPr>
          <w:rFonts w:ascii="仿宋_GB2312" w:eastAsia="仿宋_GB2312" w:hAnsi="宋体" w:cs="宋体" w:hint="eastAsia"/>
          <w:bCs/>
          <w:color w:val="000000"/>
          <w:sz w:val="28"/>
          <w:szCs w:val="28"/>
        </w:rPr>
        <w:t>个特色专业群“工作过程和岗位职业能力为导向”的课程体系建设。进一步优化技术技能型人才培养课程体系，加强公共课程建设，全面提高学生基本素质。以社会需求和就业创业为导向，按照科技发展水平、产业发展需要和行业（职业）标准，整合相关公共基础课、专业核心课、专业拓展课，进一步优化技术技能人才培养课程体系，加强通识课程建设，全面提高学生基本素质。</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（二）改革教学内容</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深化公共课教学内容改革，提高学生综合素质。将工匠精神教育融入思想政治理论课教学，切实提高思政课的实效性。根据英语分级教学及开设后续课程的需要更新教学内容，切实满足学生对英语学习的需求。加强计算机应用基础、创业基础等课程教学内容与专业的适用性，做到教学目标与学生所在专业培养目标一致。优化原有通识选修课程模块，增加创新创业类课程和区域特色科技文化类课程，加大优质网络课程资源的引进和使用。</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2.</w:t>
      </w:r>
      <w:r w:rsidRPr="00064842">
        <w:rPr>
          <w:rFonts w:ascii="仿宋_GB2312" w:eastAsia="仿宋_GB2312" w:hAnsi="宋体" w:cs="宋体" w:hint="eastAsia"/>
          <w:bCs/>
          <w:color w:val="000000"/>
          <w:sz w:val="28"/>
          <w:szCs w:val="28"/>
        </w:rPr>
        <w:t>加强专业课程教学内容改革。突出学生主体地位，按“实用、有效、先进”原则，紧跟行业领先企业和岗位的实际需要对教学内容进行全方位、应用性改造。形成教学内容更新机制，及时将专业领域的新知识、新理论、新技术、新工艺、新方法充实到教学内容中去。重点改进理论课程教学，强化应用性知识的传授，突出知识的应用性。</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（三）创新方法手段</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积极推进教学内容、教学方法、学习方式、考核评价的一体化改革</w:t>
      </w:r>
      <w:r w:rsidRPr="00064842">
        <w:rPr>
          <w:rFonts w:ascii="仿宋_GB2312" w:eastAsia="仿宋_GB2312" w:hAnsi="宋体" w:cs="宋体"/>
          <w:bCs/>
          <w:color w:val="000000"/>
          <w:sz w:val="28"/>
          <w:szCs w:val="28"/>
        </w:rPr>
        <w:t>,</w:t>
      </w:r>
      <w:r w:rsidRPr="00064842">
        <w:rPr>
          <w:rFonts w:ascii="仿宋_GB2312" w:eastAsia="仿宋_GB2312" w:hAnsi="宋体" w:cs="宋体" w:hint="eastAsia"/>
          <w:bCs/>
          <w:color w:val="000000"/>
          <w:sz w:val="28"/>
          <w:szCs w:val="28"/>
        </w:rPr>
        <w:t>不断加强教学手段现代化建设，积极推动信息技术在教学活动中的普遍运用。</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以现代教育思想为指导，重视教师在教学活动中的主导作用和学生在教学活动中的主体作用，促进师生线上线下互动交流，激发学生学习的积极性和主动性，培养学生自主学习能力。</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2.</w:t>
      </w:r>
      <w:r w:rsidRPr="00064842">
        <w:rPr>
          <w:rFonts w:ascii="仿宋_GB2312" w:eastAsia="仿宋_GB2312" w:hAnsi="宋体" w:cs="宋体" w:hint="eastAsia"/>
          <w:bCs/>
          <w:color w:val="000000"/>
          <w:sz w:val="28"/>
          <w:szCs w:val="28"/>
        </w:rPr>
        <w:t>充分体现现代职业教育理念，开展项目式、案例式和工作过程导向式等教学模式改革，积极推行与生产劳动和社会实践相结合的学习模式，带动专业调整与建设，促进教学内容和教学方法改革，强化学生职业能力的培养。</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3.</w:t>
      </w:r>
      <w:r w:rsidRPr="00064842">
        <w:rPr>
          <w:rFonts w:ascii="仿宋_GB2312" w:eastAsia="仿宋_GB2312" w:hAnsi="宋体" w:cs="宋体" w:hint="eastAsia"/>
          <w:bCs/>
          <w:color w:val="000000"/>
          <w:sz w:val="28"/>
          <w:szCs w:val="28"/>
        </w:rPr>
        <w:t>积极推行启发式、探究式、讨论式、问答式等教学方式改革，创新线上线下教学模式，促进学生积极思考，培养学生分析问题解决问题能力和批判性思维。</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（四）加强团队建设</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完善课程定向，组建课程教学团队。进一步完善教师的课程定向，各门课程均应按归口部门负责原则，试点并逐步推进课程教学团队建设，鼓励学术水平高、教学经验丰富的教师主持课程建设工作，逐步形成一支知识和年龄合理、人员稳定、教学水平高、教学效果好的教师团队，确保课程建设的可持续发展。</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2.</w:t>
      </w:r>
      <w:r w:rsidRPr="00064842">
        <w:rPr>
          <w:rFonts w:ascii="仿宋_GB2312" w:eastAsia="仿宋_GB2312" w:hAnsi="宋体" w:cs="宋体" w:hint="eastAsia"/>
          <w:bCs/>
          <w:color w:val="000000"/>
          <w:sz w:val="28"/>
          <w:szCs w:val="28"/>
        </w:rPr>
        <w:t>加强课程教学队伍的培养培训。通过引进、定岗挂职锻炼等方式，增加具有行业背景和行业经验教师数量，进一步增强教师实践能力；选派带头人、骨干教师等到发达国家学习职业教育先进理念、课程建设和开发理念、专业领域前沿技术；注重培养青年教师、骨干教师和专业带头人，争取培养国家教学名师</w:t>
      </w:r>
      <w:r w:rsidRPr="00064842">
        <w:rPr>
          <w:rFonts w:ascii="仿宋_GB2312" w:eastAsia="仿宋_GB2312" w:hAnsi="宋体" w:cs="宋体"/>
          <w:bCs/>
          <w:color w:val="000000"/>
          <w:sz w:val="28"/>
          <w:szCs w:val="28"/>
        </w:rPr>
        <w:t>1-2</w:t>
      </w:r>
      <w:r w:rsidRPr="00064842">
        <w:rPr>
          <w:rFonts w:ascii="仿宋_GB2312" w:eastAsia="仿宋_GB2312" w:hAnsi="宋体" w:cs="宋体" w:hint="eastAsia"/>
          <w:bCs/>
          <w:color w:val="000000"/>
          <w:sz w:val="28"/>
          <w:szCs w:val="28"/>
        </w:rPr>
        <w:t>名、省级教学名师</w:t>
      </w:r>
      <w:r w:rsidRPr="00064842">
        <w:rPr>
          <w:rFonts w:ascii="仿宋_GB2312" w:eastAsia="仿宋_GB2312" w:hAnsi="宋体" w:cs="宋体"/>
          <w:bCs/>
          <w:color w:val="000000"/>
          <w:sz w:val="28"/>
          <w:szCs w:val="28"/>
        </w:rPr>
        <w:t>4-5</w:t>
      </w:r>
      <w:r w:rsidRPr="00064842">
        <w:rPr>
          <w:rFonts w:ascii="仿宋_GB2312" w:eastAsia="仿宋_GB2312" w:hAnsi="宋体" w:cs="宋体" w:hint="eastAsia"/>
          <w:bCs/>
          <w:color w:val="000000"/>
          <w:sz w:val="28"/>
          <w:szCs w:val="28"/>
        </w:rPr>
        <w:t>名、省级教学团队</w:t>
      </w:r>
      <w:r w:rsidRPr="00064842">
        <w:rPr>
          <w:rFonts w:ascii="仿宋_GB2312" w:eastAsia="仿宋_GB2312" w:hAnsi="宋体" w:cs="宋体"/>
          <w:bCs/>
          <w:color w:val="000000"/>
          <w:sz w:val="28"/>
          <w:szCs w:val="28"/>
        </w:rPr>
        <w:t>2-4</w:t>
      </w:r>
      <w:r w:rsidRPr="00064842">
        <w:rPr>
          <w:rFonts w:ascii="仿宋_GB2312" w:eastAsia="仿宋_GB2312" w:hAnsi="宋体" w:cs="宋体" w:hint="eastAsia"/>
          <w:bCs/>
          <w:color w:val="000000"/>
          <w:sz w:val="28"/>
          <w:szCs w:val="28"/>
        </w:rPr>
        <w:t>支，以及一定数量的校级教学名师。</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3.</w:t>
      </w:r>
      <w:r w:rsidRPr="00064842">
        <w:rPr>
          <w:rFonts w:ascii="仿宋_GB2312" w:eastAsia="仿宋_GB2312" w:hAnsi="宋体" w:cs="宋体" w:hint="eastAsia"/>
          <w:bCs/>
          <w:color w:val="000000"/>
          <w:sz w:val="28"/>
          <w:szCs w:val="28"/>
        </w:rPr>
        <w:t>开展教师教学能力比赛。组织开展教师职业能力比赛、说课比赛及指导学生创业创新能力比赛等活动，提升课程团队教学设计能力、信息技术应用能力和课程开发与建设能力。</w:t>
      </w:r>
    </w:p>
    <w:p w:rsidR="00071B20" w:rsidRPr="00064842" w:rsidRDefault="00071B20" w:rsidP="00064842">
      <w:pPr>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hint="eastAsia"/>
          <w:b/>
          <w:color w:val="000000"/>
          <w:sz w:val="28"/>
          <w:szCs w:val="28"/>
        </w:rPr>
        <w:t>（五）加快资源建设</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做好课程标准建设。紧扣人才培养目标和规格要求，系统修订课程标准，注意吸取课程改革研究的最新成果，明确课程对人才培养基本素质、提高学生专业能力的要求。同时，做好课程建设中的教材配套工作。</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2.</w:t>
      </w:r>
      <w:r w:rsidRPr="00064842">
        <w:rPr>
          <w:rFonts w:ascii="仿宋_GB2312" w:eastAsia="仿宋_GB2312" w:hAnsi="宋体" w:cs="宋体" w:hint="eastAsia"/>
          <w:bCs/>
          <w:color w:val="000000"/>
          <w:sz w:val="28"/>
          <w:szCs w:val="28"/>
        </w:rPr>
        <w:t>做好教材选育的管理。各院部以产业转型升级、技术进步和社会建设需求为导向，做好教材选育的管理，立足教材的先进性和适用性，积极选用获国家或省部级奖励的优秀教材或规划教材。深化教材建设与管理改革，支持教学经验丰富、教学水平较高的教师结合与我院人才培养目标要求相适应的自编教材、教学参考书、教学案例和习题集等。</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3.</w:t>
      </w:r>
      <w:r w:rsidRPr="00064842">
        <w:rPr>
          <w:rFonts w:ascii="仿宋_GB2312" w:eastAsia="仿宋_GB2312" w:hAnsi="宋体" w:cs="宋体" w:hint="eastAsia"/>
          <w:bCs/>
          <w:color w:val="000000"/>
          <w:sz w:val="28"/>
          <w:szCs w:val="28"/>
        </w:rPr>
        <w:t>做好网络课程教学资源建设。通过与智慧职教、超星集团合作，将国家优质教学资源引入课堂，丰富教学内容和教学方式。</w:t>
      </w:r>
    </w:p>
    <w:p w:rsidR="00071B20" w:rsidRPr="00064842" w:rsidRDefault="00071B20" w:rsidP="00064842">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sidRPr="00064842">
        <w:rPr>
          <w:rFonts w:ascii="仿宋_GB2312" w:eastAsia="仿宋_GB2312" w:hAnsi="宋体" w:cs="宋体"/>
          <w:b/>
          <w:color w:val="000000"/>
          <w:sz w:val="28"/>
          <w:szCs w:val="28"/>
        </w:rPr>
        <w:t>(</w:t>
      </w:r>
      <w:r w:rsidRPr="00064842">
        <w:rPr>
          <w:rFonts w:ascii="仿宋_GB2312" w:eastAsia="仿宋_GB2312" w:hAnsi="宋体" w:cs="宋体" w:hint="eastAsia"/>
          <w:b/>
          <w:color w:val="000000"/>
          <w:sz w:val="28"/>
          <w:szCs w:val="28"/>
        </w:rPr>
        <w:t>六）实践教学改革</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加强实习、实训等实践环节，强化学生实践锻炼和职业训练。修订实践教学标准，完善各环节质量标准，加强管理和考核，保障各实践教学环节的时间和效果。</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1.</w:t>
      </w:r>
      <w:r w:rsidRPr="00064842">
        <w:rPr>
          <w:rFonts w:ascii="仿宋_GB2312" w:eastAsia="仿宋_GB2312" w:hAnsi="宋体" w:cs="宋体" w:hint="eastAsia"/>
          <w:bCs/>
          <w:color w:val="000000"/>
          <w:sz w:val="28"/>
          <w:szCs w:val="28"/>
        </w:rPr>
        <w:t>构建专业群实践教学体系。主动适应社会经济转型、行业企业发展升级要求，解构专业群对接产业链、职业链中相应岗位（群）所具备的知识、能力和素质，依据职业院校学生特点和专业群职业岗位能力培养需求重构专业群实践体系。</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2.</w:t>
      </w:r>
      <w:r w:rsidRPr="00064842">
        <w:rPr>
          <w:rFonts w:ascii="仿宋_GB2312" w:eastAsia="仿宋_GB2312" w:hAnsi="宋体" w:cs="宋体" w:hint="eastAsia"/>
          <w:bCs/>
          <w:color w:val="000000"/>
          <w:sz w:val="28"/>
          <w:szCs w:val="28"/>
        </w:rPr>
        <w:t>建立实训教学质量标准。开发课程实训、专业社会实践、专业综合实训、创业创新教育实践、顶岗实习、毕业设计等环节教学质量考核与评价标准等，建立与专业群实践体系相配套的实习实训教学质量标准。</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bCs/>
          <w:color w:val="000000"/>
          <w:sz w:val="28"/>
          <w:szCs w:val="28"/>
        </w:rPr>
        <w:t>3.</w:t>
      </w:r>
      <w:r w:rsidRPr="00064842">
        <w:rPr>
          <w:rFonts w:ascii="仿宋_GB2312" w:eastAsia="仿宋_GB2312" w:hAnsi="宋体" w:cs="宋体" w:hint="eastAsia"/>
          <w:bCs/>
          <w:color w:val="000000"/>
          <w:sz w:val="28"/>
          <w:szCs w:val="28"/>
        </w:rPr>
        <w:t>创新实践教学模式。以实训室现有仪器设备为载体，根据高职教育技术技能积累规律和专业实训教学实际，依托企业真实项目或案例开发实训项目，积极探索现代学徒制、工学交替、项目制教学以及教、学、做一体化教学等人才培养模式改革，开展创业创新教育，推动实践教学模式改革，实现企业生产过程和教学过程对接。</w:t>
      </w:r>
    </w:p>
    <w:p w:rsidR="00071B20" w:rsidRPr="00064842" w:rsidRDefault="00071B20" w:rsidP="00064842">
      <w:pPr>
        <w:widowControl w:val="0"/>
        <w:adjustRightInd/>
        <w:spacing w:beforeLines="50" w:afterLines="50" w:line="384" w:lineRule="auto"/>
        <w:ind w:firstLine="573"/>
        <w:jc w:val="both"/>
        <w:rPr>
          <w:rFonts w:ascii="黑体" w:eastAsia="黑体" w:hAnsi="宋体" w:cs="宋体"/>
          <w:b/>
          <w:bCs/>
          <w:color w:val="000000"/>
          <w:sz w:val="28"/>
          <w:szCs w:val="28"/>
        </w:rPr>
      </w:pPr>
      <w:r w:rsidRPr="00064842">
        <w:rPr>
          <w:rFonts w:ascii="黑体" w:eastAsia="黑体" w:hAnsi="宋体" w:cs="宋体" w:hint="eastAsia"/>
          <w:b/>
          <w:bCs/>
          <w:color w:val="000000"/>
          <w:sz w:val="28"/>
          <w:szCs w:val="28"/>
        </w:rPr>
        <w:t>四、保障措施</w:t>
      </w:r>
      <w:r w:rsidRPr="00064842">
        <w:rPr>
          <w:rFonts w:ascii="黑体" w:eastAsia="黑体" w:hAnsi="宋体" w:cs="宋体"/>
          <w:b/>
          <w:bCs/>
          <w:color w:val="000000"/>
          <w:sz w:val="28"/>
          <w:szCs w:val="28"/>
        </w:rPr>
        <w:t xml:space="preserve"> </w:t>
      </w:r>
    </w:p>
    <w:p w:rsidR="00071B20" w:rsidRPr="001A5B39" w:rsidRDefault="00071B20" w:rsidP="001A5B39">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（一）</w:t>
      </w:r>
      <w:r w:rsidRPr="001A5B39">
        <w:rPr>
          <w:rFonts w:ascii="仿宋_GB2312" w:eastAsia="仿宋_GB2312" w:hAnsi="宋体" w:cs="宋体" w:hint="eastAsia"/>
          <w:b/>
          <w:color w:val="000000"/>
          <w:sz w:val="28"/>
          <w:szCs w:val="28"/>
        </w:rPr>
        <w:t>加强组织领导，确保课程建设有效开展</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课程建设涉及教师队伍、教学内容、课程体系、教学方法和手段等诸多方面，是一项基础又复杂的系统工程。学校、各教学院部要成立课程建设领导小组，领导小组下要有课程建设的常设机构，根据学院建设规划提出的总体目标、任务、指导思想和原则，有计划、有目标、分层次地系统建设，开展合格课程建设、指导、验收和检查，组织申报课程等，为课程建设有序开展提供组织保证，并将课程建设纳入院部、专业教研室和课程负责人的工作业绩考核，努力使课程建设工作常态化。</w:t>
      </w:r>
    </w:p>
    <w:p w:rsidR="00071B20" w:rsidRPr="001A5B39" w:rsidRDefault="00071B20" w:rsidP="001A5B39">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bookmarkStart w:id="3" w:name="_Toc275785019"/>
      <w:r>
        <w:rPr>
          <w:rFonts w:ascii="仿宋_GB2312" w:eastAsia="仿宋_GB2312" w:hAnsi="宋体" w:cs="宋体" w:hint="eastAsia"/>
          <w:b/>
          <w:color w:val="000000"/>
          <w:sz w:val="28"/>
          <w:szCs w:val="28"/>
        </w:rPr>
        <w:t>（二）</w:t>
      </w:r>
      <w:r w:rsidRPr="001A5B39">
        <w:rPr>
          <w:rFonts w:ascii="仿宋_GB2312" w:eastAsia="仿宋_GB2312" w:hAnsi="宋体" w:cs="宋体" w:hint="eastAsia"/>
          <w:b/>
          <w:color w:val="000000"/>
          <w:sz w:val="28"/>
          <w:szCs w:val="28"/>
        </w:rPr>
        <w:t>建立激励机制</w:t>
      </w:r>
      <w:bookmarkEnd w:id="3"/>
      <w:r w:rsidRPr="001A5B39">
        <w:rPr>
          <w:rFonts w:ascii="仿宋_GB2312" w:eastAsia="仿宋_GB2312" w:hAnsi="宋体" w:cs="宋体" w:hint="eastAsia"/>
          <w:b/>
          <w:color w:val="000000"/>
          <w:sz w:val="28"/>
          <w:szCs w:val="28"/>
        </w:rPr>
        <w:t>，激发教师参与课程建设主动性</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学校要建立有效的激励机制，将课程建设作为教学工作年度目标考核重要内容，将课程建设纳入教学考核、职务职称评聘、评优评先等范畴，逐步加大课程建设的奖励力度，激励和引导广大教师积极参与课程建设，提高教育教学质量；对成功申报校级、省级、国家级精品课程的有关人员进行表彰和奖励，对各级精品课程的课程负责人和骨干教师给予相应的待遇；对教学效果不好、不受学生欢迎的教师实行再培训，培训后仍然不能胜任教学工作的予以淘汰。</w:t>
      </w:r>
    </w:p>
    <w:p w:rsidR="00071B20" w:rsidRPr="001A5B39" w:rsidRDefault="00071B20" w:rsidP="001A5B39">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（三）</w:t>
      </w:r>
      <w:r w:rsidRPr="001A5B39">
        <w:rPr>
          <w:rFonts w:ascii="仿宋_GB2312" w:eastAsia="仿宋_GB2312" w:hAnsi="宋体" w:cs="宋体" w:hint="eastAsia"/>
          <w:b/>
          <w:color w:val="000000"/>
          <w:sz w:val="28"/>
          <w:szCs w:val="28"/>
        </w:rPr>
        <w:t>加大经费投入，确保课程建设顺利实施</w:t>
      </w:r>
    </w:p>
    <w:p w:rsidR="00071B20" w:rsidRPr="00064842" w:rsidRDefault="00071B20">
      <w:pPr>
        <w:adjustRightInd/>
        <w:snapToGrid/>
        <w:spacing w:after="0" w:line="360" w:lineRule="auto"/>
        <w:ind w:firstLineChars="200" w:firstLine="560"/>
        <w:rPr>
          <w:rFonts w:ascii="仿宋_GB2312" w:eastAsia="仿宋_GB2312" w:hAnsi="宋体" w:cs="宋体"/>
          <w:bCs/>
          <w:color w:val="000000"/>
          <w:sz w:val="28"/>
          <w:szCs w:val="28"/>
        </w:rPr>
      </w:pPr>
      <w:r w:rsidRPr="00064842">
        <w:rPr>
          <w:rFonts w:ascii="仿宋_GB2312" w:eastAsia="仿宋_GB2312" w:hAnsi="宋体" w:cs="宋体" w:hint="eastAsia"/>
          <w:bCs/>
          <w:color w:val="000000"/>
          <w:sz w:val="28"/>
          <w:szCs w:val="28"/>
        </w:rPr>
        <w:t>学校要为课程建设提供专项经费，如在卓越校建设预算经费中设立“人才培养模式改革”和“课程体系建设”经费，保证课程建设的基本支出。根据学校项目建设管理办法，对立项校级、省级、国家级精品课程的项目给予配套资助经费或奖励，推动校级优质课程资源转型升级，保证课程建设质量。</w:t>
      </w:r>
    </w:p>
    <w:p w:rsidR="00071B20" w:rsidRPr="001A5B39" w:rsidRDefault="00071B20" w:rsidP="001A5B39">
      <w:pPr>
        <w:shd w:val="clear" w:color="auto" w:fill="FFFFFF"/>
        <w:adjustRightInd/>
        <w:snapToGrid/>
        <w:spacing w:after="0" w:line="360" w:lineRule="auto"/>
        <w:ind w:firstLineChars="200" w:firstLine="562"/>
        <w:rPr>
          <w:rFonts w:ascii="仿宋_GB2312" w:eastAsia="仿宋_GB2312" w:hAnsi="宋体" w:cs="宋体"/>
          <w:b/>
          <w:color w:val="000000"/>
          <w:sz w:val="28"/>
          <w:szCs w:val="28"/>
        </w:rPr>
      </w:pPr>
      <w:bookmarkStart w:id="4" w:name="_Toc275785020"/>
      <w:r>
        <w:rPr>
          <w:rFonts w:ascii="仿宋_GB2312" w:eastAsia="仿宋_GB2312" w:hAnsi="宋体" w:cs="宋体" w:hint="eastAsia"/>
          <w:b/>
          <w:color w:val="000000"/>
          <w:sz w:val="28"/>
          <w:szCs w:val="28"/>
        </w:rPr>
        <w:t>（四）</w:t>
      </w:r>
      <w:r w:rsidRPr="001A5B39">
        <w:rPr>
          <w:rFonts w:ascii="仿宋_GB2312" w:eastAsia="仿宋_GB2312" w:hAnsi="宋体" w:cs="宋体" w:hint="eastAsia"/>
          <w:b/>
          <w:color w:val="000000"/>
          <w:sz w:val="28"/>
          <w:szCs w:val="28"/>
        </w:rPr>
        <w:t>加大课程建设的监控力度</w:t>
      </w:r>
      <w:bookmarkEnd w:id="4"/>
      <w:r w:rsidRPr="001A5B39">
        <w:rPr>
          <w:rFonts w:ascii="仿宋_GB2312" w:eastAsia="仿宋_GB2312" w:hAnsi="宋体" w:cs="宋体" w:hint="eastAsia"/>
          <w:b/>
          <w:color w:val="000000"/>
          <w:sz w:val="28"/>
          <w:szCs w:val="28"/>
        </w:rPr>
        <w:t>，确保课程建设质量</w:t>
      </w:r>
    </w:p>
    <w:p w:rsidR="00071B20" w:rsidRPr="009157F8" w:rsidRDefault="00071B20" w:rsidP="00064842">
      <w:pPr>
        <w:adjustRightInd/>
        <w:snapToGrid/>
        <w:spacing w:line="360" w:lineRule="auto"/>
        <w:ind w:firstLineChars="200" w:firstLine="560"/>
        <w:rPr>
          <w:rFonts w:ascii="仿宋" w:eastAsia="仿宋" w:hAnsi="仿宋" w:cs="仿宋"/>
          <w:sz w:val="28"/>
          <w:szCs w:val="28"/>
        </w:rPr>
      </w:pPr>
      <w:r w:rsidRPr="00064842">
        <w:rPr>
          <w:rFonts w:ascii="仿宋_GB2312" w:eastAsia="仿宋_GB2312" w:hAnsi="宋体" w:cs="宋体" w:hint="eastAsia"/>
          <w:bCs/>
          <w:color w:val="000000"/>
          <w:sz w:val="28"/>
          <w:szCs w:val="28"/>
        </w:rPr>
        <w:t>教务处和各教学院部要定期组织对课程教学的检查评估，发现问题及时指出并督促解决，检查评估结果要予以公布；学校要定期组织对精品课程进行检查评估，对建设工作不力、水平明显下降的校级精品课程要责令整改，整改不力的要取消精品课程称号，对省级、国家级精品课程建设存在的问题要专题研究，制定出整改方案和整改措施，对照相关建设标准认真整改。</w:t>
      </w:r>
    </w:p>
    <w:sectPr w:rsidR="00071B20" w:rsidRPr="009157F8" w:rsidSect="00F16AC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20" w:rsidRDefault="00071B20" w:rsidP="00FA50A6">
      <w:pPr>
        <w:spacing w:after="0"/>
      </w:pPr>
      <w:r>
        <w:separator/>
      </w:r>
    </w:p>
  </w:endnote>
  <w:endnote w:type="continuationSeparator" w:id="0">
    <w:p w:rsidR="00071B20" w:rsidRDefault="00071B20" w:rsidP="00FA50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大标宋简体">
    <w:altName w:val="Malgun Gothic Semilight"/>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20" w:rsidRDefault="00071B20" w:rsidP="00FA50A6">
      <w:pPr>
        <w:spacing w:after="0"/>
      </w:pPr>
      <w:r>
        <w:separator/>
      </w:r>
    </w:p>
  </w:footnote>
  <w:footnote w:type="continuationSeparator" w:id="0">
    <w:p w:rsidR="00071B20" w:rsidRDefault="00071B20" w:rsidP="00FA50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7D1"/>
    <w:multiLevelType w:val="singleLevel"/>
    <w:tmpl w:val="1E1417D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4842"/>
    <w:rsid w:val="00071B20"/>
    <w:rsid w:val="0009279E"/>
    <w:rsid w:val="000971AC"/>
    <w:rsid w:val="00100BF2"/>
    <w:rsid w:val="00101B53"/>
    <w:rsid w:val="00124D3F"/>
    <w:rsid w:val="001928C1"/>
    <w:rsid w:val="001A5B39"/>
    <w:rsid w:val="001D2EBC"/>
    <w:rsid w:val="00213BB4"/>
    <w:rsid w:val="00235A9A"/>
    <w:rsid w:val="00251AB6"/>
    <w:rsid w:val="002E681E"/>
    <w:rsid w:val="003063B9"/>
    <w:rsid w:val="00323B43"/>
    <w:rsid w:val="003778F1"/>
    <w:rsid w:val="003C5A58"/>
    <w:rsid w:val="003D37D8"/>
    <w:rsid w:val="00426133"/>
    <w:rsid w:val="004358AB"/>
    <w:rsid w:val="0043676F"/>
    <w:rsid w:val="0045601E"/>
    <w:rsid w:val="005304C8"/>
    <w:rsid w:val="00562683"/>
    <w:rsid w:val="00563760"/>
    <w:rsid w:val="00566546"/>
    <w:rsid w:val="00571073"/>
    <w:rsid w:val="006427F5"/>
    <w:rsid w:val="00672DAE"/>
    <w:rsid w:val="007616C4"/>
    <w:rsid w:val="007646B8"/>
    <w:rsid w:val="00787C7F"/>
    <w:rsid w:val="007B13EC"/>
    <w:rsid w:val="007B4FDB"/>
    <w:rsid w:val="007F752A"/>
    <w:rsid w:val="0085576A"/>
    <w:rsid w:val="00871B7E"/>
    <w:rsid w:val="008A425C"/>
    <w:rsid w:val="008B7726"/>
    <w:rsid w:val="009157F8"/>
    <w:rsid w:val="00936D65"/>
    <w:rsid w:val="0095367B"/>
    <w:rsid w:val="00A30913"/>
    <w:rsid w:val="00A4081B"/>
    <w:rsid w:val="00A71CBF"/>
    <w:rsid w:val="00AD30A2"/>
    <w:rsid w:val="00AF423F"/>
    <w:rsid w:val="00B159F8"/>
    <w:rsid w:val="00B22E5B"/>
    <w:rsid w:val="00B9248F"/>
    <w:rsid w:val="00BA3420"/>
    <w:rsid w:val="00C0534F"/>
    <w:rsid w:val="00C17658"/>
    <w:rsid w:val="00C5701C"/>
    <w:rsid w:val="00D07B7E"/>
    <w:rsid w:val="00D21D8D"/>
    <w:rsid w:val="00D31D50"/>
    <w:rsid w:val="00D8715D"/>
    <w:rsid w:val="00E327F3"/>
    <w:rsid w:val="00E53F1E"/>
    <w:rsid w:val="00E879C5"/>
    <w:rsid w:val="00F16AC8"/>
    <w:rsid w:val="00F34AD2"/>
    <w:rsid w:val="00FA50A6"/>
    <w:rsid w:val="010F532F"/>
    <w:rsid w:val="03C14909"/>
    <w:rsid w:val="04A96A83"/>
    <w:rsid w:val="05134E08"/>
    <w:rsid w:val="05946089"/>
    <w:rsid w:val="05D34095"/>
    <w:rsid w:val="0631690F"/>
    <w:rsid w:val="06837BAF"/>
    <w:rsid w:val="06B379CE"/>
    <w:rsid w:val="06FF1077"/>
    <w:rsid w:val="07FC5D05"/>
    <w:rsid w:val="084B5B1C"/>
    <w:rsid w:val="090235C5"/>
    <w:rsid w:val="0A116656"/>
    <w:rsid w:val="0A1D231A"/>
    <w:rsid w:val="0B314A1F"/>
    <w:rsid w:val="0B471939"/>
    <w:rsid w:val="0C1660BE"/>
    <w:rsid w:val="0C393EE2"/>
    <w:rsid w:val="0F564158"/>
    <w:rsid w:val="10480A57"/>
    <w:rsid w:val="12CF3776"/>
    <w:rsid w:val="14CD04F5"/>
    <w:rsid w:val="159264A5"/>
    <w:rsid w:val="161D4BDB"/>
    <w:rsid w:val="17B14239"/>
    <w:rsid w:val="17F764EA"/>
    <w:rsid w:val="18185476"/>
    <w:rsid w:val="18514A10"/>
    <w:rsid w:val="187F6883"/>
    <w:rsid w:val="1A2A3326"/>
    <w:rsid w:val="1A2D28B3"/>
    <w:rsid w:val="1B176360"/>
    <w:rsid w:val="1D5177E0"/>
    <w:rsid w:val="1D522374"/>
    <w:rsid w:val="1E036392"/>
    <w:rsid w:val="1E1D7000"/>
    <w:rsid w:val="1EA967CE"/>
    <w:rsid w:val="1FA02375"/>
    <w:rsid w:val="21D03C89"/>
    <w:rsid w:val="21E90BD2"/>
    <w:rsid w:val="22DE147B"/>
    <w:rsid w:val="245E64BE"/>
    <w:rsid w:val="283C4B25"/>
    <w:rsid w:val="284D30B1"/>
    <w:rsid w:val="2A883224"/>
    <w:rsid w:val="2C2E4BD3"/>
    <w:rsid w:val="2CB13FF7"/>
    <w:rsid w:val="2D3307D6"/>
    <w:rsid w:val="2D4B69FF"/>
    <w:rsid w:val="2D853D5F"/>
    <w:rsid w:val="2F833A92"/>
    <w:rsid w:val="31436D79"/>
    <w:rsid w:val="32E2375B"/>
    <w:rsid w:val="3492492C"/>
    <w:rsid w:val="34A55D02"/>
    <w:rsid w:val="34EB7978"/>
    <w:rsid w:val="35DB5362"/>
    <w:rsid w:val="361C18C0"/>
    <w:rsid w:val="38312B9B"/>
    <w:rsid w:val="3A2A704B"/>
    <w:rsid w:val="3B193989"/>
    <w:rsid w:val="3C821A62"/>
    <w:rsid w:val="3C8D6E2A"/>
    <w:rsid w:val="3D7E1ADF"/>
    <w:rsid w:val="418A44A0"/>
    <w:rsid w:val="42F71A3B"/>
    <w:rsid w:val="43BC1575"/>
    <w:rsid w:val="44194C51"/>
    <w:rsid w:val="450B2189"/>
    <w:rsid w:val="45261F37"/>
    <w:rsid w:val="45764461"/>
    <w:rsid w:val="465B204B"/>
    <w:rsid w:val="47F61D5C"/>
    <w:rsid w:val="4A304927"/>
    <w:rsid w:val="4A8E109B"/>
    <w:rsid w:val="4AD03DCE"/>
    <w:rsid w:val="4AE23F3B"/>
    <w:rsid w:val="4AEB4F0B"/>
    <w:rsid w:val="4B3720B3"/>
    <w:rsid w:val="4C3101B4"/>
    <w:rsid w:val="4D452710"/>
    <w:rsid w:val="4EBB2FD2"/>
    <w:rsid w:val="4F08300D"/>
    <w:rsid w:val="51A36F00"/>
    <w:rsid w:val="51DA0938"/>
    <w:rsid w:val="52974D68"/>
    <w:rsid w:val="52C82A23"/>
    <w:rsid w:val="57314671"/>
    <w:rsid w:val="57827E65"/>
    <w:rsid w:val="5887113C"/>
    <w:rsid w:val="5A5C31B5"/>
    <w:rsid w:val="5E7031BF"/>
    <w:rsid w:val="5F054529"/>
    <w:rsid w:val="5FAF39A3"/>
    <w:rsid w:val="61A33BC5"/>
    <w:rsid w:val="61AB70CE"/>
    <w:rsid w:val="621F38E0"/>
    <w:rsid w:val="63952B3B"/>
    <w:rsid w:val="64147EFC"/>
    <w:rsid w:val="64A232D3"/>
    <w:rsid w:val="64A40361"/>
    <w:rsid w:val="64E904A2"/>
    <w:rsid w:val="65E52906"/>
    <w:rsid w:val="65E60021"/>
    <w:rsid w:val="66DB76A4"/>
    <w:rsid w:val="680D57C0"/>
    <w:rsid w:val="6A8175B1"/>
    <w:rsid w:val="6A910B2B"/>
    <w:rsid w:val="6B5246C3"/>
    <w:rsid w:val="6F236786"/>
    <w:rsid w:val="713A268E"/>
    <w:rsid w:val="71684831"/>
    <w:rsid w:val="717559DF"/>
    <w:rsid w:val="7223700F"/>
    <w:rsid w:val="74053D94"/>
    <w:rsid w:val="747A5DAB"/>
    <w:rsid w:val="74B97228"/>
    <w:rsid w:val="74EE6BAB"/>
    <w:rsid w:val="78A14862"/>
    <w:rsid w:val="78FB782E"/>
    <w:rsid w:val="78FF4732"/>
    <w:rsid w:val="79B249AA"/>
    <w:rsid w:val="7A2B5D0D"/>
    <w:rsid w:val="7AD3764F"/>
    <w:rsid w:val="7B8602E5"/>
    <w:rsid w:val="7C515F00"/>
    <w:rsid w:val="7CB1692F"/>
    <w:rsid w:val="7DBB5FF0"/>
    <w:rsid w:val="7FE02B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F1"/>
    <w:pPr>
      <w:adjustRightInd w:val="0"/>
      <w:snapToGrid w:val="0"/>
      <w:spacing w:after="200"/>
    </w:pPr>
    <w:rPr>
      <w:rFonts w:ascii="Tahoma" w:eastAsia="微软雅黑" w:hAnsi="Tahoma"/>
      <w:kern w:val="0"/>
      <w:sz w:val="22"/>
    </w:rPr>
  </w:style>
  <w:style w:type="paragraph" w:styleId="Heading3">
    <w:name w:val="heading 3"/>
    <w:basedOn w:val="Normal"/>
    <w:next w:val="Normal"/>
    <w:link w:val="Heading3Char"/>
    <w:uiPriority w:val="99"/>
    <w:qFormat/>
    <w:rsid w:val="003778F1"/>
    <w:pPr>
      <w:keepNext/>
      <w:keepLines/>
      <w:spacing w:before="260" w:after="260" w:line="416" w:lineRule="auto"/>
      <w:outlineLvl w:val="2"/>
    </w:pPr>
    <w:rPr>
      <w:rFonts w:ascii="Calibri" w:hAnsi="Calibri"/>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157B2"/>
    <w:rPr>
      <w:rFonts w:ascii="Tahoma" w:eastAsia="微软雅黑" w:hAnsi="Tahoma"/>
      <w:b/>
      <w:bCs/>
      <w:kern w:val="0"/>
      <w:sz w:val="32"/>
      <w:szCs w:val="32"/>
    </w:rPr>
  </w:style>
  <w:style w:type="paragraph" w:styleId="Subtitle">
    <w:name w:val="Subtitle"/>
    <w:basedOn w:val="Normal"/>
    <w:next w:val="Normal"/>
    <w:link w:val="SubtitleChar"/>
    <w:uiPriority w:val="99"/>
    <w:qFormat/>
    <w:rsid w:val="003778F1"/>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11"/>
    <w:rsid w:val="006157B2"/>
    <w:rPr>
      <w:rFonts w:asciiTheme="majorHAnsi" w:hAnsiTheme="majorHAnsi" w:cstheme="majorBidi"/>
      <w:b/>
      <w:bCs/>
      <w:kern w:val="28"/>
      <w:sz w:val="32"/>
      <w:szCs w:val="32"/>
    </w:rPr>
  </w:style>
  <w:style w:type="paragraph" w:styleId="Header">
    <w:name w:val="header"/>
    <w:basedOn w:val="Normal"/>
    <w:link w:val="HeaderChar"/>
    <w:uiPriority w:val="99"/>
    <w:rsid w:val="00FA50A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FA50A6"/>
    <w:rPr>
      <w:rFonts w:ascii="Tahoma" w:eastAsia="微软雅黑" w:hAnsi="Tahoma" w:cs="Times New Roman"/>
      <w:sz w:val="18"/>
      <w:szCs w:val="18"/>
    </w:rPr>
  </w:style>
  <w:style w:type="paragraph" w:styleId="Footer">
    <w:name w:val="footer"/>
    <w:basedOn w:val="Normal"/>
    <w:link w:val="FooterChar"/>
    <w:uiPriority w:val="99"/>
    <w:rsid w:val="00FA50A6"/>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FA50A6"/>
    <w:rPr>
      <w:rFonts w:ascii="Tahoma" w:eastAsia="微软雅黑" w:hAnsi="Tahoma" w:cs="Times New Roman"/>
      <w:sz w:val="18"/>
      <w:szCs w:val="18"/>
    </w:rPr>
  </w:style>
  <w:style w:type="paragraph" w:styleId="ListParagraph">
    <w:name w:val="List Paragraph"/>
    <w:basedOn w:val="Normal"/>
    <w:uiPriority w:val="99"/>
    <w:qFormat/>
    <w:rsid w:val="00E879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8</Pages>
  <Words>736</Words>
  <Characters>4201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贺新元</cp:lastModifiedBy>
  <cp:revision>15</cp:revision>
  <dcterms:created xsi:type="dcterms:W3CDTF">2008-09-11T17:20:00Z</dcterms:created>
  <dcterms:modified xsi:type="dcterms:W3CDTF">2019-05-31T02:12:00Z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